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162A7" w:rsidRDefault="00EA258E">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7C245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762A8B">
                  <w:rPr>
                    <w:rFonts w:ascii="Arial" w:hAnsi="Arial" w:hint="eastAsia"/>
                    <w:b/>
                    <w:bCs/>
                    <w:noProof w:val="0"/>
                    <w:sz w:val="26"/>
                    <w:szCs w:val="26"/>
                    <w:rtl/>
                  </w:rPr>
                  <w:t>מ</w:t>
                </w:r>
                <w:r w:rsidR="00762A8B">
                  <w:rPr>
                    <w:rFonts w:ascii="Arial" w:hAnsi="Arial" w:hint="cs"/>
                    <w:b/>
                    <w:bCs/>
                    <w:noProof w:val="0"/>
                    <w:sz w:val="26"/>
                    <w:szCs w:val="26"/>
                    <w:rtl/>
                  </w:rPr>
                  <w:t>' א'</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21171"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משיבים</w:t>
                </w:r>
              </w:sdtContent>
            </w:sdt>
          </w:p>
        </w:tc>
        <w:tc>
          <w:tcPr>
            <w:tcW w:w="5571" w:type="dxa"/>
          </w:tcPr>
          <w:p w:rsidR="00CF6BB7" w:rsidRPr="009E461A"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762A8B">
                  <w:rPr>
                    <w:rFonts w:ascii="Arial" w:hAnsi="Arial" w:hint="eastAsia"/>
                    <w:b/>
                    <w:bCs/>
                    <w:noProof w:val="0"/>
                    <w:sz w:val="26"/>
                    <w:szCs w:val="26"/>
                    <w:rtl/>
                  </w:rPr>
                  <w:t>ל</w:t>
                </w:r>
                <w:r w:rsidR="00762A8B">
                  <w:rPr>
                    <w:rFonts w:ascii="Arial" w:hAnsi="Arial" w:hint="cs"/>
                    <w:b/>
                    <w:bCs/>
                    <w:noProof w:val="0"/>
                    <w:sz w:val="26"/>
                    <w:szCs w:val="26"/>
                    <w:rtl/>
                  </w:rPr>
                  <w:t>' מ'</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E162A7" w:rsidRDefault="00E162A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CB53C9">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57C48" w:rsidRDefault="00A57C48" w:rsidP="00A57C48">
      <w:pPr>
        <w:spacing w:line="360" w:lineRule="auto"/>
        <w:jc w:val="both"/>
        <w:rPr>
          <w:rFonts w:ascii="David" w:hAnsi="David"/>
          <w:noProof w:val="0"/>
        </w:rPr>
      </w:pPr>
      <w:bookmarkStart w:id="0" w:name="NGCSBookmark"/>
      <w:bookmarkEnd w:id="0"/>
      <w:r>
        <w:rPr>
          <w:rFonts w:ascii="David" w:hAnsi="David"/>
          <w:rtl/>
        </w:rPr>
        <w:t xml:space="preserve">בקשת רשות ערעור על החלטות בית </w:t>
      </w:r>
      <w:r w:rsidR="000D14D7">
        <w:rPr>
          <w:rFonts w:ascii="David" w:hAnsi="David" w:hint="cs"/>
          <w:rtl/>
        </w:rPr>
        <w:t>ה</w:t>
      </w:r>
      <w:r>
        <w:rPr>
          <w:rFonts w:ascii="David" w:hAnsi="David"/>
          <w:rtl/>
        </w:rPr>
        <w:t>משפט לענייני משפחה בקריות (כב' השופטת ליאת דהן חיון) בתל</w:t>
      </w:r>
      <w:r w:rsidR="008C3E7A">
        <w:rPr>
          <w:rFonts w:ascii="David" w:hAnsi="David"/>
          <w:rtl/>
        </w:rPr>
        <w:t>ה"מ 31775-01-20 מיום 15.03.2023</w:t>
      </w:r>
      <w:r w:rsidR="008C3E7A">
        <w:rPr>
          <w:rFonts w:ascii="David" w:hAnsi="David" w:hint="cs"/>
          <w:rtl/>
        </w:rPr>
        <w:t xml:space="preserve"> שלא אפשרו</w:t>
      </w:r>
      <w:r w:rsidR="00762A8B">
        <w:rPr>
          <w:rFonts w:ascii="David" w:hAnsi="David" w:hint="cs"/>
          <w:rtl/>
        </w:rPr>
        <w:t>, על פי הנטען,</w:t>
      </w:r>
      <w:r w:rsidR="008C3E7A">
        <w:rPr>
          <w:rFonts w:ascii="David" w:hAnsi="David" w:hint="cs"/>
          <w:rtl/>
        </w:rPr>
        <w:t xml:space="preserve"> למבקשת לקיים זכויותיה הדיוניות ו</w:t>
      </w:r>
      <w:r>
        <w:rPr>
          <w:rFonts w:ascii="David" w:hAnsi="David"/>
          <w:rtl/>
        </w:rPr>
        <w:t>לייצג עצמה בהליך והמאפשרות למשיב להציג מסמכים אשר לטענתה חסויים, וכן</w:t>
      </w:r>
      <w:r w:rsidR="00F96B87">
        <w:rPr>
          <w:rFonts w:ascii="David" w:hAnsi="David"/>
          <w:rtl/>
        </w:rPr>
        <w:t xml:space="preserve"> על החלטה מיום 01.04.2023 ה</w:t>
      </w:r>
      <w:r w:rsidR="00F96B87">
        <w:rPr>
          <w:rFonts w:ascii="David" w:hAnsi="David" w:hint="cs"/>
          <w:rtl/>
        </w:rPr>
        <w:t>דוחה</w:t>
      </w:r>
      <w:r>
        <w:rPr>
          <w:rFonts w:ascii="David" w:hAnsi="David"/>
          <w:rtl/>
        </w:rPr>
        <w:t xml:space="preserve"> את בקשת המשיבה להורות על מחיקת כלל השאלות הנוגעות למסמכים החסויים, ולאפשר למבקשת לבצע השלמת חקירה תוך הצגת מסמכים חדשים ו/או ראיות חדשות. </w:t>
      </w:r>
    </w:p>
    <w:p w:rsidR="00A57C48" w:rsidRDefault="00A57C48" w:rsidP="00A57C48">
      <w:pPr>
        <w:spacing w:line="360" w:lineRule="auto"/>
        <w:jc w:val="both"/>
        <w:rPr>
          <w:rFonts w:ascii="David" w:hAnsi="David"/>
          <w:rtl/>
        </w:rPr>
      </w:pPr>
    </w:p>
    <w:p w:rsidR="00A57C48" w:rsidRDefault="00A57C48" w:rsidP="00A57C48">
      <w:pPr>
        <w:spacing w:line="360" w:lineRule="auto"/>
        <w:jc w:val="both"/>
        <w:rPr>
          <w:rFonts w:ascii="David" w:hAnsi="David"/>
          <w:b/>
          <w:bCs/>
          <w:u w:val="single"/>
          <w:rtl/>
        </w:rPr>
      </w:pPr>
      <w:r>
        <w:rPr>
          <w:rFonts w:ascii="David" w:hAnsi="David"/>
          <w:b/>
          <w:bCs/>
          <w:u w:val="single"/>
          <w:rtl/>
        </w:rPr>
        <w:t>העובדות הצריכות לענייננו:</w:t>
      </w:r>
    </w:p>
    <w:p w:rsidR="00A57C48" w:rsidRDefault="008C3E7A" w:rsidP="00762A8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w:t>
      </w:r>
      <w:r w:rsidR="00A57C48">
        <w:rPr>
          <w:rFonts w:ascii="David" w:hAnsi="David" w:cs="David"/>
          <w:sz w:val="24"/>
          <w:szCs w:val="24"/>
          <w:rtl/>
        </w:rPr>
        <w:t>הוריה של ה</w:t>
      </w:r>
      <w:r w:rsidR="00762A8B">
        <w:rPr>
          <w:rFonts w:ascii="David" w:hAnsi="David" w:cs="David"/>
          <w:sz w:val="24"/>
          <w:szCs w:val="24"/>
          <w:rtl/>
        </w:rPr>
        <w:t xml:space="preserve">קטינה </w:t>
      </w:r>
      <w:r w:rsidR="00762A8B">
        <w:rPr>
          <w:rFonts w:ascii="David" w:hAnsi="David" w:cs="David" w:hint="cs"/>
          <w:sz w:val="24"/>
          <w:szCs w:val="24"/>
          <w:rtl/>
        </w:rPr>
        <w:t>ע'</w:t>
      </w:r>
      <w:r w:rsidR="00F96B87">
        <w:rPr>
          <w:rFonts w:ascii="David" w:hAnsi="David" w:cs="David"/>
          <w:sz w:val="24"/>
          <w:szCs w:val="24"/>
          <w:rtl/>
        </w:rPr>
        <w:t>, ילידת יוני 2013</w:t>
      </w:r>
      <w:r w:rsidR="00F96B87">
        <w:rPr>
          <w:rFonts w:ascii="David" w:hAnsi="David" w:cs="David" w:hint="cs"/>
          <w:sz w:val="24"/>
          <w:szCs w:val="24"/>
          <w:rtl/>
        </w:rPr>
        <w:t>,</w:t>
      </w:r>
      <w:r w:rsidR="00762A8B">
        <w:rPr>
          <w:rFonts w:ascii="David" w:hAnsi="David" w:cs="David"/>
          <w:sz w:val="24"/>
          <w:szCs w:val="24"/>
          <w:rtl/>
        </w:rPr>
        <w:t xml:space="preserve"> נישאו זל"ז ביום</w:t>
      </w:r>
      <w:r w:rsidR="00762A8B">
        <w:rPr>
          <w:rFonts w:ascii="David" w:hAnsi="David" w:cs="David" w:hint="cs"/>
          <w:sz w:val="24"/>
          <w:szCs w:val="24"/>
          <w:rtl/>
        </w:rPr>
        <w:t xml:space="preserve"> 00</w:t>
      </w:r>
      <w:r w:rsidR="00F96B87">
        <w:rPr>
          <w:rFonts w:ascii="David" w:hAnsi="David" w:cs="David"/>
          <w:sz w:val="24"/>
          <w:szCs w:val="24"/>
          <w:rtl/>
        </w:rPr>
        <w:t>.02.2010</w:t>
      </w:r>
      <w:r w:rsidR="00F96B87">
        <w:rPr>
          <w:rFonts w:ascii="David" w:hAnsi="David" w:cs="David" w:hint="cs"/>
          <w:sz w:val="24"/>
          <w:szCs w:val="24"/>
          <w:rtl/>
        </w:rPr>
        <w:t xml:space="preserve">. </w:t>
      </w:r>
      <w:r w:rsidR="00A57C48">
        <w:rPr>
          <w:rFonts w:ascii="David" w:hAnsi="David" w:cs="David"/>
          <w:sz w:val="24"/>
          <w:szCs w:val="24"/>
          <w:rtl/>
        </w:rPr>
        <w:t xml:space="preserve"> </w:t>
      </w:r>
    </w:p>
    <w:p w:rsidR="00A57C48" w:rsidRDefault="00A57C48" w:rsidP="00A57C48">
      <w:pPr>
        <w:pStyle w:val="ad"/>
        <w:spacing w:line="360" w:lineRule="auto"/>
        <w:jc w:val="both"/>
        <w:rPr>
          <w:rFonts w:ascii="David" w:hAnsi="David" w:cs="David"/>
          <w:sz w:val="24"/>
          <w:szCs w:val="24"/>
        </w:rPr>
      </w:pPr>
    </w:p>
    <w:p w:rsidR="00A57C48" w:rsidRDefault="00F96B87" w:rsidP="00A57C48">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הצדדים ערכו הסכם גירושין אשר קיבל </w:t>
      </w:r>
      <w:r>
        <w:rPr>
          <w:rFonts w:ascii="David" w:hAnsi="David" w:cs="David"/>
          <w:sz w:val="24"/>
          <w:szCs w:val="24"/>
          <w:rtl/>
        </w:rPr>
        <w:t>ביום 27.05.2015 תוקף של פסק דין</w:t>
      </w:r>
      <w:r w:rsidR="00A57C48">
        <w:rPr>
          <w:rFonts w:ascii="David" w:hAnsi="David" w:cs="David"/>
          <w:sz w:val="24"/>
          <w:szCs w:val="24"/>
          <w:rtl/>
        </w:rPr>
        <w:t xml:space="preserve">. </w:t>
      </w:r>
    </w:p>
    <w:p w:rsidR="00A57C48" w:rsidRDefault="00A57C48" w:rsidP="00A57C48">
      <w:pPr>
        <w:pStyle w:val="ad"/>
        <w:rPr>
          <w:rFonts w:ascii="David" w:hAnsi="David" w:cs="David"/>
          <w:sz w:val="24"/>
          <w:szCs w:val="24"/>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14.01.2020 הגיש המשיב תביעה לביטול/הפחתת מזונות הקטינה עקב שינוי נסיבות. </w:t>
      </w:r>
    </w:p>
    <w:p w:rsidR="00A57C48" w:rsidRDefault="00A57C48" w:rsidP="00A57C48">
      <w:pPr>
        <w:pStyle w:val="ad"/>
        <w:rPr>
          <w:rFonts w:ascii="David" w:hAnsi="David" w:cs="David"/>
          <w:sz w:val="24"/>
          <w:szCs w:val="24"/>
        </w:rPr>
      </w:pPr>
    </w:p>
    <w:p w:rsidR="00A57C48" w:rsidRDefault="00A57C48" w:rsidP="00F96B8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24.12.2020 </w:t>
      </w:r>
      <w:r w:rsidR="00A14D30">
        <w:rPr>
          <w:rFonts w:ascii="David" w:hAnsi="David" w:cs="David" w:hint="cs"/>
          <w:sz w:val="24"/>
          <w:szCs w:val="24"/>
          <w:rtl/>
        </w:rPr>
        <w:t xml:space="preserve">ניתנו </w:t>
      </w:r>
      <w:r>
        <w:rPr>
          <w:rFonts w:ascii="David" w:hAnsi="David" w:cs="David"/>
          <w:sz w:val="24"/>
          <w:szCs w:val="24"/>
          <w:rtl/>
        </w:rPr>
        <w:t>צווי גילוי ועיון הדדיים ו</w:t>
      </w:r>
      <w:r w:rsidR="00A14D30">
        <w:rPr>
          <w:rFonts w:ascii="David" w:hAnsi="David" w:cs="David" w:hint="cs"/>
          <w:sz w:val="24"/>
          <w:szCs w:val="24"/>
          <w:rtl/>
        </w:rPr>
        <w:t xml:space="preserve">כן </w:t>
      </w:r>
      <w:r>
        <w:rPr>
          <w:rFonts w:ascii="David" w:hAnsi="David" w:cs="David"/>
          <w:sz w:val="24"/>
          <w:szCs w:val="24"/>
          <w:rtl/>
        </w:rPr>
        <w:t>הזמנת עדים.</w:t>
      </w:r>
    </w:p>
    <w:p w:rsidR="00A57C48" w:rsidRDefault="00A57C48" w:rsidP="00A57C48">
      <w:pPr>
        <w:pStyle w:val="ad"/>
        <w:rPr>
          <w:rFonts w:ascii="David" w:hAnsi="David" w:cs="David"/>
          <w:sz w:val="24"/>
          <w:szCs w:val="24"/>
        </w:rPr>
      </w:pPr>
    </w:p>
    <w:p w:rsidR="00A57C48" w:rsidRDefault="00A57C48" w:rsidP="00762A8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26.07.2022 הגיש המשיב בקשה להורות </w:t>
      </w:r>
      <w:r w:rsidR="0065783D">
        <w:rPr>
          <w:rFonts w:ascii="David" w:hAnsi="David" w:cs="David"/>
          <w:sz w:val="24"/>
          <w:szCs w:val="24"/>
          <w:rtl/>
        </w:rPr>
        <w:t>למבקשת להגיש את מלוא החומר בתיק</w:t>
      </w:r>
      <w:r w:rsidR="00A14D30">
        <w:rPr>
          <w:rFonts w:ascii="David" w:hAnsi="David" w:cs="David"/>
          <w:sz w:val="24"/>
          <w:szCs w:val="24"/>
          <w:rtl/>
        </w:rPr>
        <w:t xml:space="preserve"> ה"ט 7229-07-22 המתנהל ב</w:t>
      </w:r>
      <w:r w:rsidR="00A14D30">
        <w:rPr>
          <w:rFonts w:ascii="David" w:hAnsi="David" w:cs="David" w:hint="cs"/>
          <w:sz w:val="24"/>
          <w:szCs w:val="24"/>
          <w:rtl/>
        </w:rPr>
        <w:t>ינה</w:t>
      </w:r>
      <w:r w:rsidR="00A14D30">
        <w:rPr>
          <w:rFonts w:ascii="David" w:hAnsi="David" w:cs="David"/>
          <w:sz w:val="24"/>
          <w:szCs w:val="24"/>
          <w:rtl/>
        </w:rPr>
        <w:t xml:space="preserve"> לבין </w:t>
      </w:r>
      <w:r w:rsidR="0065783D">
        <w:rPr>
          <w:rFonts w:ascii="David" w:hAnsi="David" w:cs="David" w:hint="cs"/>
          <w:sz w:val="24"/>
          <w:szCs w:val="24"/>
          <w:rtl/>
        </w:rPr>
        <w:t xml:space="preserve">אחר, </w:t>
      </w:r>
      <w:r w:rsidR="00762A8B">
        <w:rPr>
          <w:rFonts w:ascii="David" w:hAnsi="David" w:cs="David" w:hint="cs"/>
          <w:sz w:val="24"/>
          <w:szCs w:val="24"/>
          <w:rtl/>
        </w:rPr>
        <w:t xml:space="preserve">ס' </w:t>
      </w:r>
      <w:r w:rsidR="008C3E7A">
        <w:rPr>
          <w:rFonts w:ascii="David" w:hAnsi="David" w:cs="David" w:hint="cs"/>
          <w:sz w:val="24"/>
          <w:szCs w:val="24"/>
          <w:rtl/>
        </w:rPr>
        <w:t>, בן זוגה עד לאחרונה</w:t>
      </w:r>
      <w:r w:rsidR="00A14D30">
        <w:rPr>
          <w:rFonts w:ascii="David" w:hAnsi="David" w:cs="David" w:hint="cs"/>
          <w:sz w:val="24"/>
          <w:szCs w:val="24"/>
          <w:rtl/>
        </w:rPr>
        <w:t xml:space="preserve">. </w:t>
      </w:r>
      <w:r w:rsidR="00A14D30">
        <w:rPr>
          <w:rFonts w:ascii="David" w:hAnsi="David" w:cs="David"/>
          <w:sz w:val="24"/>
          <w:szCs w:val="24"/>
          <w:rtl/>
        </w:rPr>
        <w:t>בו ביום ניתנה החלט</w:t>
      </w:r>
      <w:r w:rsidR="00A14D30">
        <w:rPr>
          <w:rFonts w:ascii="David" w:hAnsi="David" w:cs="David" w:hint="cs"/>
          <w:sz w:val="24"/>
          <w:szCs w:val="24"/>
          <w:rtl/>
        </w:rPr>
        <w:t>ת</w:t>
      </w:r>
      <w:r w:rsidR="00A14D30">
        <w:rPr>
          <w:rFonts w:ascii="David" w:hAnsi="David" w:cs="David"/>
          <w:sz w:val="24"/>
          <w:szCs w:val="24"/>
          <w:rtl/>
        </w:rPr>
        <w:t xml:space="preserve"> בית משפט קמא </w:t>
      </w:r>
      <w:r w:rsidR="00A14D30">
        <w:rPr>
          <w:rFonts w:ascii="David" w:hAnsi="David" w:cs="David" w:hint="cs"/>
          <w:sz w:val="24"/>
          <w:szCs w:val="24"/>
          <w:rtl/>
        </w:rPr>
        <w:t>המורה כי</w:t>
      </w:r>
      <w:r>
        <w:rPr>
          <w:rFonts w:ascii="David" w:hAnsi="David" w:cs="David"/>
          <w:sz w:val="24"/>
          <w:szCs w:val="24"/>
          <w:rtl/>
        </w:rPr>
        <w:t>: "</w:t>
      </w:r>
      <w:r w:rsidRPr="00A14D30">
        <w:rPr>
          <w:rFonts w:ascii="David" w:hAnsi="David" w:cs="David"/>
          <w:b/>
          <w:bCs/>
          <w:sz w:val="24"/>
          <w:szCs w:val="24"/>
          <w:rtl/>
        </w:rPr>
        <w:t>בשים לב לכך שהמדובר בהליכים המתבררים בדלתיים סגורות</w:t>
      </w:r>
      <w:r w:rsidR="00762A8B">
        <w:rPr>
          <w:rFonts w:ascii="David" w:hAnsi="David" w:cs="David"/>
          <w:b/>
          <w:bCs/>
          <w:sz w:val="24"/>
          <w:szCs w:val="24"/>
          <w:rtl/>
        </w:rPr>
        <w:t xml:space="preserve">, יש לקבל גם את עמדתו של מר </w:t>
      </w:r>
      <w:r w:rsidR="00762A8B">
        <w:rPr>
          <w:rFonts w:ascii="David" w:hAnsi="David" w:cs="David" w:hint="cs"/>
          <w:b/>
          <w:bCs/>
          <w:sz w:val="24"/>
          <w:szCs w:val="24"/>
          <w:rtl/>
        </w:rPr>
        <w:t>ס'</w:t>
      </w:r>
      <w:r w:rsidRPr="00A14D30">
        <w:rPr>
          <w:rFonts w:ascii="David" w:hAnsi="David" w:cs="David"/>
          <w:b/>
          <w:bCs/>
          <w:sz w:val="24"/>
          <w:szCs w:val="24"/>
          <w:rtl/>
        </w:rPr>
        <w:t xml:space="preserve"> לבקשה.... ככל והמבקש עותר לצירוף מסמכים מהתיק הנוסף, דומה שדרך המלך בהגשת הבקשה לתיק המקביל שכן כידוע, הסמכות להורות </w:t>
      </w:r>
      <w:r w:rsidR="00A14D30">
        <w:rPr>
          <w:rFonts w:ascii="David" w:hAnsi="David" w:cs="David"/>
          <w:b/>
          <w:bCs/>
          <w:sz w:val="24"/>
          <w:szCs w:val="24"/>
          <w:rtl/>
        </w:rPr>
        <w:t>על היתר עיון, נתונה לערכאה לפני</w:t>
      </w:r>
      <w:r w:rsidR="00A14D30">
        <w:rPr>
          <w:rFonts w:ascii="David" w:hAnsi="David" w:cs="David" w:hint="cs"/>
          <w:b/>
          <w:bCs/>
          <w:sz w:val="24"/>
          <w:szCs w:val="24"/>
          <w:rtl/>
        </w:rPr>
        <w:t>ה</w:t>
      </w:r>
      <w:r w:rsidRPr="00A14D30">
        <w:rPr>
          <w:rFonts w:ascii="David" w:hAnsi="David" w:cs="David"/>
          <w:b/>
          <w:bCs/>
          <w:sz w:val="24"/>
          <w:szCs w:val="24"/>
          <w:rtl/>
        </w:rPr>
        <w:t xml:space="preserve"> התבררה התביעה</w:t>
      </w:r>
      <w:r>
        <w:rPr>
          <w:rFonts w:ascii="David" w:hAnsi="David" w:cs="David"/>
          <w:sz w:val="24"/>
          <w:szCs w:val="24"/>
          <w:rtl/>
        </w:rPr>
        <w:t>".</w:t>
      </w:r>
    </w:p>
    <w:p w:rsidR="00A57C48" w:rsidRDefault="00A57C48" w:rsidP="00A57C48">
      <w:pPr>
        <w:pStyle w:val="ad"/>
        <w:rPr>
          <w:rFonts w:ascii="David" w:hAnsi="David" w:cs="David"/>
          <w:sz w:val="24"/>
          <w:szCs w:val="24"/>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28.09</w:t>
      </w:r>
      <w:r w:rsidR="00A14D30">
        <w:rPr>
          <w:rFonts w:ascii="David" w:hAnsi="David" w:cs="David"/>
          <w:sz w:val="24"/>
          <w:szCs w:val="24"/>
          <w:rtl/>
        </w:rPr>
        <w:t>.2022</w:t>
      </w:r>
      <w:r>
        <w:rPr>
          <w:rFonts w:ascii="David" w:hAnsi="David" w:cs="David"/>
          <w:sz w:val="24"/>
          <w:szCs w:val="24"/>
          <w:rtl/>
        </w:rPr>
        <w:t xml:space="preserve">  </w:t>
      </w:r>
      <w:r w:rsidR="00A14D30">
        <w:rPr>
          <w:rFonts w:ascii="David" w:hAnsi="David" w:cs="David" w:hint="cs"/>
          <w:sz w:val="24"/>
          <w:szCs w:val="24"/>
          <w:rtl/>
        </w:rPr>
        <w:t>הורה בית משפט קמא ל</w:t>
      </w:r>
      <w:r>
        <w:rPr>
          <w:rFonts w:ascii="David" w:hAnsi="David" w:cs="David"/>
          <w:sz w:val="24"/>
          <w:szCs w:val="24"/>
          <w:rtl/>
        </w:rPr>
        <w:t>משיב להבהיר האם פנה בבקשה מתאימה לצירוף מסמכים למותב לפניו מתברר ההליך הנוסף</w:t>
      </w:r>
      <w:r w:rsidR="00762A8B">
        <w:rPr>
          <w:rFonts w:ascii="David" w:hAnsi="David" w:cs="David" w:hint="cs"/>
          <w:sz w:val="24"/>
          <w:szCs w:val="24"/>
          <w:rtl/>
        </w:rPr>
        <w:t>,</w:t>
      </w:r>
      <w:r>
        <w:rPr>
          <w:rFonts w:ascii="David" w:hAnsi="David" w:cs="David"/>
          <w:sz w:val="24"/>
          <w:szCs w:val="24"/>
          <w:rtl/>
        </w:rPr>
        <w:t xml:space="preserve"> וכי ב</w:t>
      </w:r>
      <w:r w:rsidR="00A14D30">
        <w:rPr>
          <w:rFonts w:ascii="David" w:hAnsi="David" w:cs="David"/>
          <w:sz w:val="24"/>
          <w:szCs w:val="24"/>
          <w:rtl/>
        </w:rPr>
        <w:t>העדר החלטה מטעם המותב בתיק</w:t>
      </w:r>
      <w:r w:rsidR="00A14D30">
        <w:rPr>
          <w:rFonts w:ascii="David" w:hAnsi="David" w:cs="David" w:hint="cs"/>
          <w:sz w:val="24"/>
          <w:szCs w:val="24"/>
          <w:rtl/>
        </w:rPr>
        <w:t xml:space="preserve"> האחר</w:t>
      </w:r>
      <w:r>
        <w:rPr>
          <w:rFonts w:ascii="David" w:hAnsi="David" w:cs="David"/>
          <w:sz w:val="24"/>
          <w:szCs w:val="24"/>
          <w:rtl/>
        </w:rPr>
        <w:t xml:space="preserve"> לא תידון הבקשה. </w:t>
      </w:r>
    </w:p>
    <w:p w:rsidR="00A57C48" w:rsidRDefault="00A57C48" w:rsidP="00A57C48">
      <w:pPr>
        <w:pStyle w:val="ad"/>
        <w:rPr>
          <w:rFonts w:ascii="David" w:hAnsi="David" w:cs="David"/>
          <w:sz w:val="24"/>
          <w:szCs w:val="24"/>
        </w:rPr>
      </w:pPr>
    </w:p>
    <w:p w:rsidR="00A57C48" w:rsidRDefault="00A14D30"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02.10.2022  </w:t>
      </w:r>
      <w:r>
        <w:rPr>
          <w:rFonts w:ascii="David" w:hAnsi="David" w:cs="David" w:hint="cs"/>
          <w:sz w:val="24"/>
          <w:szCs w:val="24"/>
          <w:rtl/>
        </w:rPr>
        <w:t>ובעקבות</w:t>
      </w:r>
      <w:r>
        <w:rPr>
          <w:rFonts w:ascii="David" w:hAnsi="David" w:cs="David"/>
          <w:sz w:val="24"/>
          <w:szCs w:val="24"/>
          <w:rtl/>
        </w:rPr>
        <w:t xml:space="preserve"> בקש</w:t>
      </w:r>
      <w:r>
        <w:rPr>
          <w:rFonts w:ascii="David" w:hAnsi="David" w:cs="David" w:hint="cs"/>
          <w:sz w:val="24"/>
          <w:szCs w:val="24"/>
          <w:rtl/>
        </w:rPr>
        <w:t xml:space="preserve">ה נוספת שהגיש </w:t>
      </w:r>
      <w:r w:rsidR="00A57C48">
        <w:rPr>
          <w:rFonts w:ascii="David" w:hAnsi="David" w:cs="David"/>
          <w:sz w:val="24"/>
          <w:szCs w:val="24"/>
          <w:rtl/>
        </w:rPr>
        <w:t>המשיב,</w:t>
      </w:r>
      <w:r w:rsidR="00322ED4">
        <w:rPr>
          <w:rFonts w:ascii="David" w:hAnsi="David" w:cs="David" w:hint="cs"/>
          <w:sz w:val="24"/>
          <w:szCs w:val="24"/>
          <w:rtl/>
        </w:rPr>
        <w:t xml:space="preserve"> באותו עניין, חזר</w:t>
      </w:r>
      <w:r>
        <w:rPr>
          <w:rFonts w:ascii="David" w:hAnsi="David" w:cs="David" w:hint="cs"/>
          <w:sz w:val="24"/>
          <w:szCs w:val="24"/>
          <w:rtl/>
        </w:rPr>
        <w:t xml:space="preserve"> בית משפט קמא </w:t>
      </w:r>
      <w:r w:rsidR="00A57C48">
        <w:rPr>
          <w:rFonts w:ascii="David" w:hAnsi="David" w:cs="David"/>
          <w:sz w:val="24"/>
          <w:szCs w:val="24"/>
          <w:rtl/>
        </w:rPr>
        <w:t xml:space="preserve"> </w:t>
      </w:r>
      <w:r w:rsidR="00322ED4">
        <w:rPr>
          <w:rFonts w:ascii="David" w:hAnsi="David" w:cs="David" w:hint="cs"/>
          <w:sz w:val="24"/>
          <w:szCs w:val="24"/>
          <w:rtl/>
        </w:rPr>
        <w:t xml:space="preserve">וקבע </w:t>
      </w:r>
      <w:r w:rsidR="00322ED4">
        <w:rPr>
          <w:rFonts w:ascii="David" w:hAnsi="David" w:cs="David"/>
          <w:sz w:val="24"/>
          <w:szCs w:val="24"/>
          <w:rtl/>
        </w:rPr>
        <w:t xml:space="preserve">כי </w:t>
      </w:r>
      <w:r w:rsidR="00322ED4">
        <w:rPr>
          <w:rFonts w:ascii="David" w:hAnsi="David" w:cs="David" w:hint="cs"/>
          <w:sz w:val="24"/>
          <w:szCs w:val="24"/>
          <w:rtl/>
        </w:rPr>
        <w:t>לשם הוספת</w:t>
      </w:r>
      <w:r w:rsidR="00A57C48">
        <w:rPr>
          <w:rFonts w:ascii="David" w:hAnsi="David" w:cs="David"/>
          <w:sz w:val="24"/>
          <w:szCs w:val="24"/>
          <w:rtl/>
        </w:rPr>
        <w:t xml:space="preserve"> ראיה הקשורה בכתבי</w:t>
      </w:r>
      <w:r w:rsidR="00322ED4">
        <w:rPr>
          <w:rFonts w:ascii="David" w:hAnsi="David" w:cs="David"/>
          <w:sz w:val="24"/>
          <w:szCs w:val="24"/>
          <w:rtl/>
        </w:rPr>
        <w:t xml:space="preserve"> בי-דין המתבררים בהליך אחר</w:t>
      </w:r>
      <w:r w:rsidR="0065783D">
        <w:rPr>
          <w:rFonts w:ascii="David" w:hAnsi="David" w:cs="David" w:hint="cs"/>
          <w:sz w:val="24"/>
          <w:szCs w:val="24"/>
          <w:rtl/>
        </w:rPr>
        <w:t>, כשהמשיב אינו צד לאותו הליך המתברר בדלתיים סגורות,</w:t>
      </w:r>
      <w:r w:rsidR="00322ED4">
        <w:rPr>
          <w:rFonts w:ascii="David" w:hAnsi="David" w:cs="David"/>
          <w:sz w:val="24"/>
          <w:szCs w:val="24"/>
          <w:rtl/>
        </w:rPr>
        <w:t xml:space="preserve"> </w:t>
      </w:r>
      <w:r w:rsidR="00A57C48">
        <w:rPr>
          <w:rFonts w:ascii="David" w:hAnsi="David" w:cs="David"/>
          <w:sz w:val="24"/>
          <w:szCs w:val="24"/>
          <w:rtl/>
        </w:rPr>
        <w:t xml:space="preserve">יש לפעול תחילה בהתאם לאמור בהחלטה מיום 26.07.2022 ולקבל אישור המותב </w:t>
      </w:r>
      <w:r w:rsidR="00322ED4">
        <w:rPr>
          <w:rFonts w:ascii="David" w:hAnsi="David" w:cs="David" w:hint="cs"/>
          <w:sz w:val="24"/>
          <w:szCs w:val="24"/>
          <w:rtl/>
        </w:rPr>
        <w:t xml:space="preserve">הדן </w:t>
      </w:r>
      <w:r w:rsidR="00A57C48">
        <w:rPr>
          <w:rFonts w:ascii="David" w:hAnsi="David" w:cs="David"/>
          <w:sz w:val="24"/>
          <w:szCs w:val="24"/>
          <w:rtl/>
        </w:rPr>
        <w:t xml:space="preserve">בתיק השני. </w:t>
      </w:r>
    </w:p>
    <w:p w:rsidR="00A57C48" w:rsidRDefault="00A57C48" w:rsidP="00A57C48">
      <w:pPr>
        <w:pStyle w:val="ad"/>
        <w:rPr>
          <w:rFonts w:ascii="David" w:hAnsi="David" w:cs="David"/>
          <w:sz w:val="24"/>
          <w:szCs w:val="24"/>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23.11.2022 הגיש המשיב לבית משפט קמא הודעת עדכון ובקשה למתן החלטה </w:t>
      </w:r>
      <w:r w:rsidRPr="0065783D">
        <w:rPr>
          <w:rFonts w:ascii="David" w:hAnsi="David" w:cs="David"/>
          <w:sz w:val="24"/>
          <w:szCs w:val="24"/>
          <w:rtl/>
        </w:rPr>
        <w:t>להורות</w:t>
      </w:r>
      <w:r w:rsidR="0065783D">
        <w:rPr>
          <w:rFonts w:ascii="David" w:hAnsi="David" w:cs="David"/>
          <w:sz w:val="24"/>
          <w:szCs w:val="24"/>
          <w:rtl/>
        </w:rPr>
        <w:t xml:space="preserve"> ל</w:t>
      </w:r>
      <w:r w:rsidR="0065783D">
        <w:rPr>
          <w:rFonts w:ascii="David" w:hAnsi="David" w:cs="David" w:hint="cs"/>
          <w:sz w:val="24"/>
          <w:szCs w:val="24"/>
          <w:rtl/>
        </w:rPr>
        <w:t>מבקש</w:t>
      </w:r>
      <w:r w:rsidRPr="0065783D">
        <w:rPr>
          <w:rFonts w:ascii="David" w:hAnsi="David" w:cs="David"/>
          <w:sz w:val="24"/>
          <w:szCs w:val="24"/>
          <w:rtl/>
        </w:rPr>
        <w:t>ת להגיש לבית משפט קמא את מלוא החומר בתיק המקביל. המשיב נתבקש</w:t>
      </w:r>
      <w:r>
        <w:rPr>
          <w:rFonts w:ascii="David" w:hAnsi="David" w:cs="David"/>
          <w:sz w:val="24"/>
          <w:szCs w:val="24"/>
          <w:rtl/>
        </w:rPr>
        <w:t xml:space="preserve"> ע"י בית משפט קמא להבהיר אילו מסמכים יומצאו לתיק ואכן ביום 04.12.2022 הגיש פירוט מסמכים אלו. </w:t>
      </w:r>
    </w:p>
    <w:p w:rsidR="00A57C48" w:rsidRDefault="00A57C48" w:rsidP="00A57C48">
      <w:pPr>
        <w:pStyle w:val="ad"/>
        <w:spacing w:line="360" w:lineRule="auto"/>
        <w:jc w:val="both"/>
        <w:rPr>
          <w:rFonts w:ascii="David" w:hAnsi="David" w:cs="David"/>
          <w:sz w:val="24"/>
          <w:szCs w:val="24"/>
          <w:rtl/>
        </w:rPr>
      </w:pPr>
    </w:p>
    <w:p w:rsidR="00FB77C0" w:rsidRDefault="00A57C48" w:rsidP="00A57C48">
      <w:pPr>
        <w:pStyle w:val="ad"/>
        <w:numPr>
          <w:ilvl w:val="0"/>
          <w:numId w:val="1"/>
        </w:numPr>
        <w:spacing w:line="360" w:lineRule="auto"/>
        <w:jc w:val="both"/>
        <w:rPr>
          <w:rFonts w:ascii="David" w:hAnsi="David" w:cs="David"/>
          <w:sz w:val="24"/>
          <w:szCs w:val="24"/>
        </w:rPr>
      </w:pPr>
      <w:r>
        <w:rPr>
          <w:rFonts w:ascii="David" w:hAnsi="David" w:cs="David"/>
          <w:sz w:val="24"/>
          <w:szCs w:val="24"/>
          <w:rtl/>
        </w:rPr>
        <w:t>ביום 05.12.2022 ניתנ</w:t>
      </w:r>
      <w:r w:rsidR="00322ED4">
        <w:rPr>
          <w:rFonts w:ascii="David" w:hAnsi="David" w:cs="David"/>
          <w:sz w:val="24"/>
          <w:szCs w:val="24"/>
          <w:rtl/>
        </w:rPr>
        <w:t xml:space="preserve">ה החלטה </w:t>
      </w:r>
      <w:r w:rsidR="00322ED4">
        <w:rPr>
          <w:rFonts w:ascii="David" w:hAnsi="David" w:cs="David" w:hint="cs"/>
          <w:sz w:val="24"/>
          <w:szCs w:val="24"/>
          <w:rtl/>
        </w:rPr>
        <w:t>בית</w:t>
      </w:r>
      <w:r w:rsidR="00FB77C0">
        <w:rPr>
          <w:rFonts w:ascii="David" w:hAnsi="David" w:cs="David"/>
          <w:sz w:val="24"/>
          <w:szCs w:val="24"/>
          <w:rtl/>
        </w:rPr>
        <w:t xml:space="preserve"> משפט קמא בה נקבע</w:t>
      </w:r>
      <w:r>
        <w:rPr>
          <w:rFonts w:ascii="David" w:hAnsi="David" w:cs="David"/>
          <w:sz w:val="24"/>
          <w:szCs w:val="24"/>
          <w:rtl/>
        </w:rPr>
        <w:t>:</w:t>
      </w:r>
    </w:p>
    <w:p w:rsidR="00FB77C0" w:rsidRPr="00322ED4" w:rsidRDefault="00FB77C0" w:rsidP="00FB77C0">
      <w:pPr>
        <w:pStyle w:val="ad"/>
        <w:rPr>
          <w:rFonts w:ascii="David" w:hAnsi="David" w:cs="David"/>
          <w:sz w:val="24"/>
          <w:szCs w:val="24"/>
          <w:rtl/>
        </w:rPr>
      </w:pPr>
    </w:p>
    <w:p w:rsidR="000910DE" w:rsidRPr="00322ED4" w:rsidRDefault="00A57C48" w:rsidP="000910DE">
      <w:pPr>
        <w:pStyle w:val="ad"/>
        <w:spacing w:line="360" w:lineRule="auto"/>
        <w:jc w:val="both"/>
        <w:rPr>
          <w:rFonts w:ascii="David" w:hAnsi="David" w:cs="David"/>
          <w:b/>
          <w:bCs/>
          <w:sz w:val="24"/>
          <w:szCs w:val="24"/>
          <w:rtl/>
        </w:rPr>
      </w:pPr>
      <w:r>
        <w:rPr>
          <w:rFonts w:ascii="David" w:hAnsi="David" w:cs="David"/>
          <w:sz w:val="24"/>
          <w:szCs w:val="24"/>
          <w:rtl/>
        </w:rPr>
        <w:t xml:space="preserve"> "</w:t>
      </w:r>
      <w:r w:rsidRPr="00322ED4">
        <w:rPr>
          <w:rFonts w:ascii="David" w:hAnsi="David" w:cs="David"/>
          <w:b/>
          <w:bCs/>
          <w:sz w:val="24"/>
          <w:szCs w:val="24"/>
          <w:rtl/>
        </w:rPr>
        <w:t>צירוף מסמכים מהליך המתנהל בדלתיים סגורות, נתונה להחלטת הערכאה לפניה מתברר ההליך. בנסיבות אלה, ומשאינני משמשת כערכאת ערעור, אין מקום ליתן החלטה אחרת לעניין זה. יחד עם זאת, נתתי דעתי לטענות המבקש לעניין חשיבות הצגת הנתונים כהוויתם, וכן לטענה ולפיה, אלה סותרים באופן ממשי את עדות המשיבה על כל המשתמע מכך. כמו כן נתתי דעתי למשקל הטענות, בכפוף להוכחתן, לעניין המחלוקות המונחות להכרעה. מכאן, באיזון הראוי, ולאחר ששקלתי את השלב המתקדם של ההליך (שמיעת הראיות והגשת המסמכים), אל מול החשיבות להגיע לחקר האמת, כמו גם ניהול הליכים נוספים, מצאתי לקבוע כדלקמן:</w:t>
      </w:r>
    </w:p>
    <w:p w:rsidR="00A57C48" w:rsidRPr="00322ED4" w:rsidRDefault="00FB77C0" w:rsidP="000910DE">
      <w:pPr>
        <w:pStyle w:val="ad"/>
        <w:spacing w:line="360" w:lineRule="auto"/>
        <w:jc w:val="both"/>
        <w:rPr>
          <w:rFonts w:ascii="David" w:hAnsi="David" w:cs="David"/>
          <w:b/>
          <w:bCs/>
          <w:sz w:val="24"/>
          <w:szCs w:val="24"/>
          <w:rtl/>
        </w:rPr>
      </w:pPr>
      <w:r w:rsidRPr="00322ED4">
        <w:rPr>
          <w:rFonts w:ascii="David" w:hAnsi="David" w:cs="David"/>
          <w:b/>
          <w:bCs/>
          <w:sz w:val="24"/>
          <w:szCs w:val="24"/>
          <w:rtl/>
        </w:rPr>
        <w:t xml:space="preserve"> </w:t>
      </w:r>
      <w:r w:rsidRPr="00322ED4">
        <w:rPr>
          <w:rFonts w:ascii="David" w:hAnsi="David" w:cs="David" w:hint="cs"/>
          <w:b/>
          <w:bCs/>
          <w:sz w:val="24"/>
          <w:szCs w:val="24"/>
          <w:rtl/>
        </w:rPr>
        <w:t>1</w:t>
      </w:r>
      <w:r w:rsidR="00A57C48" w:rsidRPr="00322ED4">
        <w:rPr>
          <w:rFonts w:ascii="David" w:hAnsi="David" w:cs="David"/>
          <w:b/>
          <w:bCs/>
          <w:sz w:val="24"/>
          <w:szCs w:val="24"/>
          <w:rtl/>
        </w:rPr>
        <w:t>. יקבע מועד נוסף לחקירת המשיבה, בחקירה שלא תעלה על חצי שעה.</w:t>
      </w:r>
    </w:p>
    <w:p w:rsidR="00A57C48" w:rsidRPr="00322ED4" w:rsidRDefault="00A57C48" w:rsidP="00A57C48">
      <w:pPr>
        <w:pStyle w:val="ad"/>
        <w:spacing w:line="360" w:lineRule="auto"/>
        <w:jc w:val="both"/>
        <w:rPr>
          <w:rFonts w:ascii="David" w:hAnsi="David" w:cs="David"/>
          <w:b/>
          <w:bCs/>
          <w:sz w:val="24"/>
          <w:szCs w:val="24"/>
          <w:rtl/>
        </w:rPr>
      </w:pPr>
      <w:r w:rsidRPr="00322ED4">
        <w:rPr>
          <w:rFonts w:ascii="David" w:hAnsi="David" w:cs="David"/>
          <w:b/>
          <w:bCs/>
          <w:sz w:val="24"/>
          <w:szCs w:val="24"/>
          <w:rtl/>
        </w:rPr>
        <w:t>2. כל צד יוכל לזמן עדים נוספים מטעמו, ובלבד שיגיש בקשה וזאת תוך 15 ימים מהיום, מסגרתה יפרט זהות העד ותוכן עדותו הצפויה.</w:t>
      </w:r>
    </w:p>
    <w:p w:rsidR="00A57C48" w:rsidRPr="00322ED4" w:rsidRDefault="00A57C48" w:rsidP="00A57C48">
      <w:pPr>
        <w:pStyle w:val="ad"/>
        <w:spacing w:line="360" w:lineRule="auto"/>
        <w:jc w:val="both"/>
        <w:rPr>
          <w:rFonts w:ascii="David" w:hAnsi="David" w:cs="David"/>
          <w:b/>
          <w:bCs/>
          <w:sz w:val="24"/>
          <w:szCs w:val="24"/>
          <w:rtl/>
        </w:rPr>
      </w:pPr>
      <w:r w:rsidRPr="00322ED4">
        <w:rPr>
          <w:rFonts w:ascii="David" w:hAnsi="David" w:cs="David"/>
          <w:b/>
          <w:bCs/>
          <w:sz w:val="24"/>
          <w:szCs w:val="24"/>
          <w:rtl/>
        </w:rPr>
        <w:t xml:space="preserve">3. לאחר הדיון תינתן זכות להגשת סיכומים משלימים." </w:t>
      </w:r>
    </w:p>
    <w:p w:rsidR="00A57C48" w:rsidRDefault="00A57C48" w:rsidP="00A57C48">
      <w:pPr>
        <w:pStyle w:val="ad"/>
        <w:spacing w:line="360" w:lineRule="auto"/>
        <w:jc w:val="both"/>
        <w:rPr>
          <w:rFonts w:ascii="David" w:hAnsi="David" w:cs="David"/>
          <w:sz w:val="24"/>
          <w:szCs w:val="24"/>
          <w:rtl/>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15.03.2023 התקיים דיון בבית משפט קמא במסגרתו הוצגו למבקשת</w:t>
      </w:r>
      <w:r w:rsidR="008C3E7A">
        <w:rPr>
          <w:rFonts w:ascii="David" w:hAnsi="David" w:cs="David" w:hint="cs"/>
          <w:sz w:val="24"/>
          <w:szCs w:val="24"/>
          <w:rtl/>
        </w:rPr>
        <w:t xml:space="preserve"> מהלך חקירתה הנגדית </w:t>
      </w:r>
      <w:r>
        <w:rPr>
          <w:rFonts w:ascii="David" w:hAnsi="David" w:cs="David"/>
          <w:sz w:val="24"/>
          <w:szCs w:val="24"/>
          <w:rtl/>
        </w:rPr>
        <w:t xml:space="preserve"> </w:t>
      </w:r>
      <w:r w:rsidR="008C3E7A">
        <w:rPr>
          <w:rFonts w:ascii="David" w:hAnsi="David" w:cs="David"/>
          <w:sz w:val="24"/>
          <w:szCs w:val="24"/>
          <w:rtl/>
        </w:rPr>
        <w:t>מסמכים שונים</w:t>
      </w:r>
      <w:r>
        <w:rPr>
          <w:rFonts w:ascii="David" w:hAnsi="David" w:cs="David"/>
          <w:sz w:val="24"/>
          <w:szCs w:val="24"/>
          <w:rtl/>
        </w:rPr>
        <w:t xml:space="preserve">. לטענת המבקשת, </w:t>
      </w:r>
      <w:r w:rsidR="0065783D">
        <w:rPr>
          <w:rFonts w:ascii="David" w:hAnsi="David" w:cs="David" w:hint="cs"/>
          <w:sz w:val="24"/>
          <w:szCs w:val="24"/>
          <w:rtl/>
        </w:rPr>
        <w:t xml:space="preserve">היא </w:t>
      </w:r>
      <w:r>
        <w:rPr>
          <w:rFonts w:ascii="David" w:hAnsi="David" w:cs="David"/>
          <w:sz w:val="24"/>
          <w:szCs w:val="24"/>
          <w:rtl/>
        </w:rPr>
        <w:t>ניסתה להסביר לבית משפט קמא במהלך הדיון כי המשיב עושה</w:t>
      </w:r>
      <w:r w:rsidR="0065783D">
        <w:rPr>
          <w:rFonts w:ascii="David" w:hAnsi="David" w:cs="David"/>
          <w:sz w:val="24"/>
          <w:szCs w:val="24"/>
          <w:rtl/>
        </w:rPr>
        <w:t xml:space="preserve"> שימוש בחומרים חסויים</w:t>
      </w:r>
      <w:r w:rsidR="00E8679A">
        <w:rPr>
          <w:rFonts w:ascii="David" w:hAnsi="David" w:cs="David" w:hint="cs"/>
          <w:sz w:val="24"/>
          <w:szCs w:val="24"/>
          <w:rtl/>
        </w:rPr>
        <w:t xml:space="preserve">, אולם </w:t>
      </w:r>
      <w:r>
        <w:rPr>
          <w:rFonts w:ascii="David" w:hAnsi="David" w:cs="David"/>
          <w:sz w:val="24"/>
          <w:szCs w:val="24"/>
          <w:rtl/>
        </w:rPr>
        <w:t xml:space="preserve">בית משפט קמא </w:t>
      </w:r>
      <w:r w:rsidR="00E8679A">
        <w:rPr>
          <w:rFonts w:ascii="David" w:hAnsi="David" w:cs="David" w:hint="cs"/>
          <w:sz w:val="24"/>
          <w:szCs w:val="24"/>
          <w:rtl/>
        </w:rPr>
        <w:t xml:space="preserve">לא אפשר לה להתנגד להצגתם או להצגת השאלות וכן לא </w:t>
      </w:r>
      <w:r w:rsidR="00E83799">
        <w:rPr>
          <w:rFonts w:ascii="David" w:hAnsi="David" w:cs="David" w:hint="cs"/>
          <w:sz w:val="24"/>
          <w:szCs w:val="24"/>
          <w:rtl/>
        </w:rPr>
        <w:t xml:space="preserve">אפשר לה </w:t>
      </w:r>
      <w:r w:rsidR="00E83799">
        <w:rPr>
          <w:rFonts w:ascii="David" w:hAnsi="David" w:cs="David"/>
          <w:sz w:val="24"/>
          <w:szCs w:val="24"/>
          <w:rtl/>
        </w:rPr>
        <w:t>להציג מסמכים מנגד</w:t>
      </w:r>
      <w:r w:rsidR="00E83799">
        <w:rPr>
          <w:rFonts w:ascii="David" w:hAnsi="David" w:cs="David" w:hint="cs"/>
          <w:sz w:val="24"/>
          <w:szCs w:val="24"/>
          <w:rtl/>
        </w:rPr>
        <w:t xml:space="preserve">. לטענתה, בית </w:t>
      </w:r>
      <w:r w:rsidR="00E83799">
        <w:rPr>
          <w:rFonts w:ascii="David" w:hAnsi="David" w:cs="David" w:hint="cs"/>
          <w:sz w:val="24"/>
          <w:szCs w:val="24"/>
          <w:rtl/>
        </w:rPr>
        <w:lastRenderedPageBreak/>
        <w:t>משפט קמא התעלם מ</w:t>
      </w:r>
      <w:r>
        <w:rPr>
          <w:rFonts w:ascii="David" w:hAnsi="David" w:cs="David"/>
          <w:sz w:val="24"/>
          <w:szCs w:val="24"/>
          <w:rtl/>
        </w:rPr>
        <w:t>בקש</w:t>
      </w:r>
      <w:r w:rsidR="00E83799">
        <w:rPr>
          <w:rFonts w:ascii="David" w:hAnsi="David" w:cs="David"/>
          <w:sz w:val="24"/>
          <w:szCs w:val="24"/>
          <w:rtl/>
        </w:rPr>
        <w:t xml:space="preserve">ותיה לחקור את המשיב </w:t>
      </w:r>
      <w:r w:rsidR="00E83799">
        <w:rPr>
          <w:rFonts w:ascii="David" w:hAnsi="David" w:cs="David" w:hint="cs"/>
          <w:sz w:val="24"/>
          <w:szCs w:val="24"/>
          <w:rtl/>
        </w:rPr>
        <w:t>בעקבות חקירתה זו ולא אפשר לה</w:t>
      </w:r>
      <w:r>
        <w:rPr>
          <w:rFonts w:ascii="David" w:hAnsi="David" w:cs="David"/>
          <w:sz w:val="24"/>
          <w:szCs w:val="24"/>
          <w:rtl/>
        </w:rPr>
        <w:t xml:space="preserve"> לייצג עצמה בהליך אף לאחר סיום חקירתה. </w:t>
      </w:r>
    </w:p>
    <w:p w:rsidR="00A57C48" w:rsidRDefault="00A57C48" w:rsidP="00A57C48">
      <w:pPr>
        <w:pStyle w:val="ad"/>
        <w:spacing w:line="360" w:lineRule="auto"/>
        <w:jc w:val="both"/>
        <w:rPr>
          <w:rFonts w:ascii="David" w:hAnsi="David" w:cs="David"/>
          <w:sz w:val="24"/>
          <w:szCs w:val="24"/>
        </w:rPr>
      </w:pPr>
    </w:p>
    <w:p w:rsidR="00A57C48" w:rsidRDefault="00E8679A" w:rsidP="00A57C48">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כמו כן </w:t>
      </w:r>
      <w:r w:rsidR="00A57C48">
        <w:rPr>
          <w:rFonts w:ascii="David" w:hAnsi="David" w:cs="David"/>
          <w:sz w:val="24"/>
          <w:szCs w:val="24"/>
          <w:rtl/>
        </w:rPr>
        <w:t>המבקשת מלינה על החלטת בית משפט קמא מ</w:t>
      </w:r>
      <w:r>
        <w:rPr>
          <w:rFonts w:ascii="David" w:hAnsi="David" w:cs="David"/>
          <w:sz w:val="24"/>
          <w:szCs w:val="24"/>
          <w:rtl/>
        </w:rPr>
        <w:t xml:space="preserve">יום 15.03.2023 </w:t>
      </w:r>
      <w:r>
        <w:rPr>
          <w:rFonts w:ascii="David" w:hAnsi="David" w:cs="David" w:hint="cs"/>
          <w:sz w:val="24"/>
          <w:szCs w:val="24"/>
          <w:rtl/>
        </w:rPr>
        <w:t>בגדרה נקבע</w:t>
      </w:r>
      <w:r w:rsidR="00E83799">
        <w:rPr>
          <w:rFonts w:ascii="David" w:hAnsi="David" w:cs="David"/>
          <w:sz w:val="24"/>
          <w:szCs w:val="24"/>
          <w:rtl/>
        </w:rPr>
        <w:t xml:space="preserve"> כי </w:t>
      </w:r>
      <w:r w:rsidR="00E83799">
        <w:rPr>
          <w:rFonts w:ascii="David" w:hAnsi="David" w:cs="David" w:hint="cs"/>
          <w:sz w:val="24"/>
          <w:szCs w:val="24"/>
          <w:rtl/>
        </w:rPr>
        <w:t>המבקשת</w:t>
      </w:r>
      <w:r w:rsidR="00E83799">
        <w:rPr>
          <w:rFonts w:ascii="David" w:hAnsi="David" w:cs="David"/>
          <w:sz w:val="24"/>
          <w:szCs w:val="24"/>
          <w:rtl/>
        </w:rPr>
        <w:t xml:space="preserve"> הינה בעלת דין ו</w:t>
      </w:r>
      <w:r w:rsidR="00E83799">
        <w:rPr>
          <w:rFonts w:ascii="David" w:hAnsi="David" w:cs="David" w:hint="cs"/>
          <w:sz w:val="24"/>
          <w:szCs w:val="24"/>
          <w:rtl/>
        </w:rPr>
        <w:t xml:space="preserve">על </w:t>
      </w:r>
      <w:r w:rsidR="00E83799">
        <w:rPr>
          <w:rFonts w:ascii="David" w:hAnsi="David" w:cs="David"/>
          <w:sz w:val="24"/>
          <w:szCs w:val="24"/>
          <w:rtl/>
        </w:rPr>
        <w:t>כן אינ</w:t>
      </w:r>
      <w:r w:rsidR="00E83799">
        <w:rPr>
          <w:rFonts w:ascii="David" w:hAnsi="David" w:cs="David" w:hint="cs"/>
          <w:sz w:val="24"/>
          <w:szCs w:val="24"/>
          <w:rtl/>
        </w:rPr>
        <w:t>ה</w:t>
      </w:r>
      <w:r w:rsidR="00A57C48">
        <w:rPr>
          <w:rFonts w:ascii="David" w:hAnsi="David" w:cs="David"/>
          <w:sz w:val="24"/>
          <w:szCs w:val="24"/>
          <w:rtl/>
        </w:rPr>
        <w:t xml:space="preserve"> יכולה לשמש כעו"ד וכעדה (להלן: "</w:t>
      </w:r>
      <w:r w:rsidR="00A57C48">
        <w:rPr>
          <w:rFonts w:ascii="David" w:hAnsi="David" w:cs="David"/>
          <w:b/>
          <w:bCs/>
          <w:sz w:val="24"/>
          <w:szCs w:val="24"/>
          <w:rtl/>
        </w:rPr>
        <w:t>ההחלטה הראשונה</w:t>
      </w:r>
      <w:r w:rsidR="00A57C48">
        <w:rPr>
          <w:rFonts w:ascii="David" w:hAnsi="David" w:cs="David"/>
          <w:sz w:val="24"/>
          <w:szCs w:val="24"/>
          <w:rtl/>
        </w:rPr>
        <w:t>")</w:t>
      </w:r>
      <w:r w:rsidR="00762A8B">
        <w:rPr>
          <w:rFonts w:ascii="David" w:hAnsi="David" w:cs="David" w:hint="cs"/>
          <w:sz w:val="24"/>
          <w:szCs w:val="24"/>
          <w:rtl/>
        </w:rPr>
        <w:t>.</w:t>
      </w:r>
    </w:p>
    <w:p w:rsidR="00A57C48" w:rsidRPr="00762A8B" w:rsidRDefault="00A57C48" w:rsidP="00A57C48">
      <w:pPr>
        <w:pStyle w:val="ad"/>
        <w:rPr>
          <w:rFonts w:ascii="David" w:hAnsi="David" w:cs="David"/>
          <w:sz w:val="24"/>
          <w:szCs w:val="24"/>
        </w:rPr>
      </w:pPr>
    </w:p>
    <w:p w:rsidR="00A57C48" w:rsidRDefault="00A57C48" w:rsidP="00E8679A">
      <w:pPr>
        <w:pStyle w:val="ad"/>
        <w:spacing w:line="360" w:lineRule="auto"/>
        <w:jc w:val="both"/>
        <w:rPr>
          <w:rFonts w:ascii="David" w:hAnsi="David" w:cs="David"/>
          <w:sz w:val="24"/>
          <w:szCs w:val="24"/>
          <w:rtl/>
        </w:rPr>
      </w:pPr>
      <w:r>
        <w:rPr>
          <w:rFonts w:ascii="David" w:hAnsi="David" w:cs="David"/>
          <w:sz w:val="24"/>
          <w:szCs w:val="24"/>
          <w:rtl/>
        </w:rPr>
        <w:t>עוד מלינה המבקשת על החלטה נוספת של בית משפט קמא מיום 15.03.2023 בעניין סיכומים משלימים, שם</w:t>
      </w:r>
      <w:r w:rsidR="00E83799">
        <w:rPr>
          <w:rFonts w:ascii="David" w:hAnsi="David" w:cs="David"/>
          <w:sz w:val="24"/>
          <w:szCs w:val="24"/>
          <w:rtl/>
        </w:rPr>
        <w:t xml:space="preserve"> נקבע כי לסיכומים לא יצורפו </w:t>
      </w:r>
      <w:r>
        <w:rPr>
          <w:rFonts w:ascii="David" w:hAnsi="David" w:cs="David"/>
          <w:sz w:val="24"/>
          <w:szCs w:val="24"/>
          <w:rtl/>
        </w:rPr>
        <w:t>מסמכים שלא צורפו לתיק ביהמ"ש עד היום וכי המשיבה תוכל להתייחס למסמכים אליהם הפנתה בחקירתה בלבד ללא צירוף מסמכים חדשים (להלן: "</w:t>
      </w:r>
      <w:r>
        <w:rPr>
          <w:rFonts w:ascii="David" w:hAnsi="David" w:cs="David"/>
          <w:b/>
          <w:bCs/>
          <w:sz w:val="24"/>
          <w:szCs w:val="24"/>
          <w:rtl/>
        </w:rPr>
        <w:t>ההחלטה השניה</w:t>
      </w:r>
      <w:r>
        <w:rPr>
          <w:rFonts w:ascii="David" w:hAnsi="David" w:cs="David"/>
          <w:sz w:val="24"/>
          <w:szCs w:val="24"/>
          <w:rtl/>
        </w:rPr>
        <w:t>").</w:t>
      </w:r>
    </w:p>
    <w:p w:rsidR="00A57C48" w:rsidRDefault="00A57C48" w:rsidP="00A57C48">
      <w:pPr>
        <w:pStyle w:val="ad"/>
        <w:rPr>
          <w:rFonts w:ascii="David" w:hAnsi="David" w:cs="David"/>
          <w:sz w:val="24"/>
          <w:szCs w:val="24"/>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28.03.2023 הגישה המבקשת בקשה להבהרה ו/או מתן הוראות. במסגרת הבקשה, הוסיפה כי על בית משפט קמא להורות על מחיקת כלל השאלות הנוגעות לתיק ה"ט 7229-07-22, להורות על מחיקת כלל השאלות הנוגעות לתיק נוסף אשר מתנהל בבית הדין הרבני וכן לאפשר למבקשת לבצע השלמת חקירה והגשת ראיות אודות מצבו הכלכלי של המשיב. במסגרת הבקשה טוענת המבקשת כי בשום שלב לא התיר בית משפט קמא הוספת ראיות חדשות ו/או מסמכים חדשים. </w:t>
      </w:r>
    </w:p>
    <w:p w:rsidR="00A57C48" w:rsidRDefault="00A57C48" w:rsidP="00A57C48">
      <w:pPr>
        <w:pStyle w:val="ad"/>
        <w:rPr>
          <w:rFonts w:ascii="David" w:hAnsi="David" w:cs="David"/>
          <w:sz w:val="24"/>
          <w:szCs w:val="24"/>
        </w:rPr>
      </w:pPr>
    </w:p>
    <w:p w:rsidR="000910DE" w:rsidRPr="000910DE" w:rsidRDefault="00A57C48" w:rsidP="000910DE">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01.04.2023 ניתנה החלטת בית משפט קמא אשר קובעת כי:</w:t>
      </w:r>
    </w:p>
    <w:p w:rsidR="00A57C48" w:rsidRPr="007D2498" w:rsidRDefault="00A57C48" w:rsidP="000910DE">
      <w:pPr>
        <w:pStyle w:val="ad"/>
        <w:spacing w:line="360" w:lineRule="auto"/>
        <w:jc w:val="both"/>
        <w:rPr>
          <w:rFonts w:ascii="David" w:hAnsi="David" w:cs="David"/>
          <w:b/>
          <w:bCs/>
          <w:sz w:val="24"/>
          <w:szCs w:val="24"/>
          <w:rtl/>
        </w:rPr>
      </w:pPr>
      <w:r>
        <w:rPr>
          <w:rFonts w:ascii="David" w:hAnsi="David" w:cs="David"/>
          <w:sz w:val="24"/>
          <w:szCs w:val="24"/>
          <w:rtl/>
        </w:rPr>
        <w:t xml:space="preserve"> "</w:t>
      </w:r>
      <w:r w:rsidRPr="007D2498">
        <w:rPr>
          <w:rFonts w:ascii="David" w:hAnsi="David" w:cs="David"/>
          <w:b/>
          <w:bCs/>
          <w:sz w:val="24"/>
          <w:szCs w:val="24"/>
          <w:rtl/>
        </w:rPr>
        <w:t>הבקשה אינה בהתאם להוראות החלטתי. משכך, מקום בו האם נתבקשה להגיש תגובתה לעניין אופן מתן פס"ד, בלבד, תוך שלאור השלב הדיוני אין מקום לדון בבקשות הנני מורה כדלקמן:</w:t>
      </w:r>
    </w:p>
    <w:p w:rsidR="00A57C48" w:rsidRDefault="00A57C48" w:rsidP="00A57C48">
      <w:pPr>
        <w:pStyle w:val="ad"/>
        <w:numPr>
          <w:ilvl w:val="0"/>
          <w:numId w:val="2"/>
        </w:numPr>
        <w:spacing w:line="360" w:lineRule="auto"/>
        <w:jc w:val="both"/>
        <w:rPr>
          <w:rFonts w:ascii="David" w:hAnsi="David" w:cs="David"/>
          <w:sz w:val="24"/>
          <w:szCs w:val="24"/>
          <w:rtl/>
        </w:rPr>
      </w:pPr>
      <w:r w:rsidRPr="007D2498">
        <w:rPr>
          <w:rFonts w:ascii="David" w:hAnsi="David" w:cs="David"/>
          <w:b/>
          <w:bCs/>
          <w:sz w:val="24"/>
          <w:szCs w:val="24"/>
          <w:rtl/>
        </w:rPr>
        <w:t>הבקשה תימחק מהתיק ולפנים משורת הדין ללא צו להוצאות...."</w:t>
      </w:r>
      <w:r>
        <w:rPr>
          <w:rFonts w:ascii="David" w:hAnsi="David" w:cs="David"/>
          <w:sz w:val="24"/>
          <w:szCs w:val="24"/>
          <w:rtl/>
        </w:rPr>
        <w:t xml:space="preserve"> (להלן:</w:t>
      </w:r>
      <w:r>
        <w:rPr>
          <w:rFonts w:ascii="David" w:hAnsi="David" w:cs="David"/>
          <w:b/>
          <w:bCs/>
          <w:sz w:val="24"/>
          <w:szCs w:val="24"/>
          <w:rtl/>
        </w:rPr>
        <w:t xml:space="preserve"> </w:t>
      </w:r>
      <w:r>
        <w:rPr>
          <w:rFonts w:ascii="David" w:hAnsi="David" w:cs="David"/>
          <w:sz w:val="24"/>
          <w:szCs w:val="24"/>
          <w:rtl/>
        </w:rPr>
        <w:t>"</w:t>
      </w:r>
      <w:r>
        <w:rPr>
          <w:rFonts w:ascii="David" w:hAnsi="David" w:cs="David"/>
          <w:b/>
          <w:bCs/>
          <w:sz w:val="24"/>
          <w:szCs w:val="24"/>
          <w:rtl/>
        </w:rPr>
        <w:t>ההחלטה השלישית</w:t>
      </w:r>
      <w:r>
        <w:rPr>
          <w:rFonts w:ascii="David" w:hAnsi="David" w:cs="David"/>
          <w:sz w:val="24"/>
          <w:szCs w:val="24"/>
          <w:rtl/>
        </w:rPr>
        <w:t>")</w:t>
      </w:r>
    </w:p>
    <w:p w:rsidR="00A57C48" w:rsidRDefault="00A57C48" w:rsidP="00A57C48">
      <w:pPr>
        <w:spacing w:line="360" w:lineRule="auto"/>
        <w:jc w:val="both"/>
        <w:rPr>
          <w:rFonts w:ascii="David" w:hAnsi="David"/>
        </w:rPr>
      </w:pPr>
    </w:p>
    <w:p w:rsidR="00A57C48" w:rsidRDefault="00E8679A"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על </w:t>
      </w:r>
      <w:r w:rsidR="00A57C48">
        <w:rPr>
          <w:rFonts w:ascii="David" w:hAnsi="David" w:cs="David"/>
          <w:sz w:val="24"/>
          <w:szCs w:val="24"/>
          <w:rtl/>
        </w:rPr>
        <w:t>ההחלטות</w:t>
      </w:r>
      <w:r w:rsidR="007D2498">
        <w:rPr>
          <w:rFonts w:ascii="David" w:hAnsi="David" w:cs="David"/>
          <w:sz w:val="24"/>
          <w:szCs w:val="24"/>
          <w:rtl/>
        </w:rPr>
        <w:t xml:space="preserve"> מיום 15.03.2023 ו</w:t>
      </w:r>
      <w:r w:rsidR="00A57C48">
        <w:rPr>
          <w:rFonts w:ascii="David" w:hAnsi="David" w:cs="David"/>
          <w:sz w:val="24"/>
          <w:szCs w:val="24"/>
          <w:rtl/>
        </w:rPr>
        <w:t xml:space="preserve">מיום 01.04.2023, מלינה המבקשת בבקשת רשות הערעור שלפניי. </w:t>
      </w:r>
    </w:p>
    <w:p w:rsidR="00A57C48" w:rsidRDefault="00A57C48" w:rsidP="00A57C48">
      <w:pPr>
        <w:spacing w:line="360" w:lineRule="auto"/>
        <w:jc w:val="both"/>
        <w:rPr>
          <w:rFonts w:ascii="David" w:hAnsi="David"/>
          <w:u w:val="single"/>
          <w:rtl/>
        </w:rPr>
      </w:pPr>
    </w:p>
    <w:p w:rsidR="00A57C48" w:rsidRDefault="00A57C48" w:rsidP="00A57C48">
      <w:pPr>
        <w:spacing w:line="360" w:lineRule="auto"/>
        <w:jc w:val="both"/>
        <w:rPr>
          <w:rFonts w:ascii="David" w:hAnsi="David"/>
          <w:b/>
          <w:bCs/>
          <w:u w:val="single"/>
          <w:rtl/>
        </w:rPr>
      </w:pPr>
      <w:r>
        <w:rPr>
          <w:rFonts w:ascii="David" w:hAnsi="David"/>
          <w:b/>
          <w:bCs/>
          <w:u w:val="single"/>
          <w:rtl/>
        </w:rPr>
        <w:t>בקשת רשות הערעור:</w:t>
      </w: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המבקשת, המשיב עשה שימוש פסול בחומרים מתיק ה"ט 7229-07-22 אשר אינ</w:t>
      </w:r>
      <w:r w:rsidR="007D2498">
        <w:rPr>
          <w:rFonts w:ascii="David" w:hAnsi="David" w:cs="David"/>
          <w:sz w:val="24"/>
          <w:szCs w:val="24"/>
          <w:rtl/>
        </w:rPr>
        <w:t xml:space="preserve">ו צד לו. זאת, לטענת המבקשת, </w:t>
      </w:r>
      <w:r w:rsidR="007D2498">
        <w:rPr>
          <w:rFonts w:ascii="David" w:hAnsi="David" w:cs="David" w:hint="cs"/>
          <w:sz w:val="24"/>
          <w:szCs w:val="24"/>
          <w:rtl/>
        </w:rPr>
        <w:t>ב</w:t>
      </w:r>
      <w:r>
        <w:rPr>
          <w:rFonts w:ascii="David" w:hAnsi="David" w:cs="David"/>
          <w:sz w:val="24"/>
          <w:szCs w:val="24"/>
          <w:rtl/>
        </w:rPr>
        <w:t xml:space="preserve">ניגוד מוחלט להחלטות שניתנו בעניין אותם חומרים חסויים. לטענתה, בית משפט קמא התיר </w:t>
      </w:r>
      <w:r w:rsidR="007D2498">
        <w:rPr>
          <w:rFonts w:ascii="David" w:hAnsi="David" w:cs="David" w:hint="cs"/>
          <w:sz w:val="24"/>
          <w:szCs w:val="24"/>
          <w:rtl/>
        </w:rPr>
        <w:t xml:space="preserve">למעשה הצגת </w:t>
      </w:r>
      <w:r>
        <w:rPr>
          <w:rFonts w:ascii="David" w:hAnsi="David" w:cs="David"/>
          <w:sz w:val="24"/>
          <w:szCs w:val="24"/>
          <w:rtl/>
        </w:rPr>
        <w:t>המסמכים כראיות במסגרת החקירה ה</w:t>
      </w:r>
      <w:r w:rsidR="00E83799">
        <w:rPr>
          <w:rFonts w:ascii="David" w:hAnsi="David" w:cs="David"/>
          <w:sz w:val="24"/>
          <w:szCs w:val="24"/>
          <w:rtl/>
        </w:rPr>
        <w:t>נגדית עת נכנסו דרך הדלת האחורית</w:t>
      </w:r>
      <w:r w:rsidR="00E83799">
        <w:rPr>
          <w:rFonts w:ascii="David" w:hAnsi="David" w:cs="David" w:hint="cs"/>
          <w:sz w:val="24"/>
          <w:szCs w:val="24"/>
          <w:rtl/>
        </w:rPr>
        <w:t>-באמצעות חקירתה הנגדית המשלימה.</w:t>
      </w:r>
    </w:p>
    <w:p w:rsidR="00A57C48" w:rsidRDefault="00A57C48" w:rsidP="00A57C48">
      <w:pPr>
        <w:pStyle w:val="ad"/>
        <w:spacing w:line="360" w:lineRule="auto"/>
        <w:jc w:val="both"/>
        <w:rPr>
          <w:rFonts w:ascii="David" w:hAnsi="David" w:cs="David"/>
          <w:sz w:val="24"/>
          <w:szCs w:val="24"/>
        </w:rPr>
      </w:pPr>
    </w:p>
    <w:p w:rsidR="00A57C48" w:rsidRDefault="00E83799" w:rsidP="00A57C48">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המבקשת, א</w:t>
      </w:r>
      <w:r>
        <w:rPr>
          <w:rFonts w:ascii="David" w:hAnsi="David" w:cs="David" w:hint="cs"/>
          <w:sz w:val="24"/>
          <w:szCs w:val="24"/>
          <w:rtl/>
        </w:rPr>
        <w:t>ילו</w:t>
      </w:r>
      <w:r w:rsidR="00A57C48">
        <w:rPr>
          <w:rFonts w:ascii="David" w:hAnsi="David" w:cs="David"/>
          <w:sz w:val="24"/>
          <w:szCs w:val="24"/>
          <w:rtl/>
        </w:rPr>
        <w:t xml:space="preserve"> ידעה ש</w:t>
      </w:r>
      <w:r>
        <w:rPr>
          <w:rFonts w:ascii="David" w:hAnsi="David" w:cs="David" w:hint="cs"/>
          <w:sz w:val="24"/>
          <w:szCs w:val="24"/>
          <w:rtl/>
        </w:rPr>
        <w:t>היא עומדת לה</w:t>
      </w:r>
      <w:r w:rsidR="00762A8B">
        <w:rPr>
          <w:rFonts w:ascii="David" w:hAnsi="David" w:cs="David"/>
          <w:sz w:val="24"/>
          <w:szCs w:val="24"/>
          <w:rtl/>
        </w:rPr>
        <w:t xml:space="preserve">יחקר אודות אותם </w:t>
      </w:r>
      <w:r w:rsidR="00A57C48">
        <w:rPr>
          <w:rFonts w:ascii="David" w:hAnsi="David" w:cs="David"/>
          <w:sz w:val="24"/>
          <w:szCs w:val="24"/>
          <w:rtl/>
        </w:rPr>
        <w:t>מסמכים, הייתה מזמנת</w:t>
      </w:r>
      <w:r w:rsidR="00762A8B">
        <w:rPr>
          <w:rFonts w:ascii="David" w:hAnsi="David" w:cs="David"/>
          <w:sz w:val="24"/>
          <w:szCs w:val="24"/>
          <w:rtl/>
        </w:rPr>
        <w:t xml:space="preserve"> את מר ס</w:t>
      </w:r>
      <w:r w:rsidR="00762A8B">
        <w:rPr>
          <w:rFonts w:ascii="David" w:hAnsi="David" w:cs="David" w:hint="cs"/>
          <w:sz w:val="24"/>
          <w:szCs w:val="24"/>
          <w:rtl/>
        </w:rPr>
        <w:t>'</w:t>
      </w:r>
      <w:r w:rsidR="00A57C48">
        <w:rPr>
          <w:rFonts w:ascii="David" w:hAnsi="David" w:cs="David"/>
          <w:sz w:val="24"/>
          <w:szCs w:val="24"/>
          <w:rtl/>
        </w:rPr>
        <w:t xml:space="preserve"> להעיד בדיון בגין מסמכים אלו. עוד טוענת כי באופן בלתי הוג</w:t>
      </w:r>
      <w:r w:rsidR="00BD26B0">
        <w:rPr>
          <w:rFonts w:ascii="David" w:hAnsi="David" w:cs="David"/>
          <w:sz w:val="24"/>
          <w:szCs w:val="24"/>
          <w:rtl/>
        </w:rPr>
        <w:t xml:space="preserve">ן נאסר עליה להתנגד לשאלות </w:t>
      </w:r>
      <w:r w:rsidR="00BD26B0">
        <w:rPr>
          <w:rFonts w:ascii="David" w:hAnsi="David" w:cs="David" w:hint="cs"/>
          <w:sz w:val="24"/>
          <w:szCs w:val="24"/>
          <w:rtl/>
        </w:rPr>
        <w:t xml:space="preserve">שהופנו אליה מהלך חקירתה הנגדית </w:t>
      </w:r>
      <w:r w:rsidR="00A57C48">
        <w:rPr>
          <w:rFonts w:ascii="David" w:hAnsi="David" w:cs="David"/>
          <w:sz w:val="24"/>
          <w:szCs w:val="24"/>
          <w:rtl/>
        </w:rPr>
        <w:t>וכן לבצע השלמת חקירה</w:t>
      </w:r>
      <w:r w:rsidR="00BD26B0">
        <w:rPr>
          <w:rFonts w:ascii="David" w:hAnsi="David" w:cs="David" w:hint="cs"/>
          <w:sz w:val="24"/>
          <w:szCs w:val="24"/>
          <w:rtl/>
        </w:rPr>
        <w:t xml:space="preserve"> למשיב</w:t>
      </w:r>
      <w:r w:rsidR="00A57C48">
        <w:rPr>
          <w:rFonts w:ascii="David" w:hAnsi="David" w:cs="David"/>
          <w:sz w:val="24"/>
          <w:szCs w:val="24"/>
          <w:rtl/>
        </w:rPr>
        <w:t xml:space="preserve"> בצורה </w:t>
      </w:r>
      <w:r w:rsidR="00BD26B0">
        <w:rPr>
          <w:rFonts w:ascii="David" w:hAnsi="David" w:cs="David"/>
          <w:sz w:val="24"/>
          <w:szCs w:val="24"/>
          <w:rtl/>
        </w:rPr>
        <w:t>הדדית ושוויונית</w:t>
      </w:r>
      <w:r w:rsidR="00BD26B0">
        <w:rPr>
          <w:rFonts w:ascii="David" w:hAnsi="David" w:cs="David" w:hint="cs"/>
          <w:sz w:val="24"/>
          <w:szCs w:val="24"/>
          <w:rtl/>
        </w:rPr>
        <w:t>, כפי שנתאפשר למשיב</w:t>
      </w:r>
      <w:r w:rsidR="00BD26B0">
        <w:rPr>
          <w:rFonts w:ascii="David" w:hAnsi="David" w:cs="David"/>
          <w:sz w:val="24"/>
          <w:szCs w:val="24"/>
          <w:rtl/>
        </w:rPr>
        <w:t>. החלטה</w:t>
      </w:r>
      <w:r w:rsidR="00BD26B0">
        <w:rPr>
          <w:rFonts w:ascii="David" w:hAnsi="David" w:cs="David" w:hint="cs"/>
          <w:sz w:val="24"/>
          <w:szCs w:val="24"/>
          <w:rtl/>
        </w:rPr>
        <w:t xml:space="preserve"> </w:t>
      </w:r>
      <w:r w:rsidR="00BD26B0">
        <w:rPr>
          <w:rFonts w:ascii="David" w:hAnsi="David" w:cs="David"/>
          <w:sz w:val="24"/>
          <w:szCs w:val="24"/>
          <w:rtl/>
        </w:rPr>
        <w:t>זו לטענתה "חור</w:t>
      </w:r>
      <w:r w:rsidR="00BD26B0">
        <w:rPr>
          <w:rFonts w:ascii="David" w:hAnsi="David" w:cs="David" w:hint="cs"/>
          <w:sz w:val="24"/>
          <w:szCs w:val="24"/>
          <w:rtl/>
        </w:rPr>
        <w:t>צת</w:t>
      </w:r>
      <w:r w:rsidR="00A57C48">
        <w:rPr>
          <w:rFonts w:ascii="David" w:hAnsi="David" w:cs="David"/>
          <w:sz w:val="24"/>
          <w:szCs w:val="24"/>
          <w:rtl/>
        </w:rPr>
        <w:t xml:space="preserve"> גורלה לרעה" מבלי שניתנה לה האפשרות להשיב בהתאמה ולהציג את מלוא התמונה. לטענתה</w:t>
      </w:r>
      <w:r w:rsidR="00BD26B0">
        <w:rPr>
          <w:rFonts w:ascii="David" w:hAnsi="David" w:cs="David" w:hint="cs"/>
          <w:sz w:val="24"/>
          <w:szCs w:val="24"/>
          <w:rtl/>
        </w:rPr>
        <w:t>,</w:t>
      </w:r>
      <w:r w:rsidR="00A57C48">
        <w:rPr>
          <w:rFonts w:ascii="David" w:hAnsi="David" w:cs="David"/>
          <w:sz w:val="24"/>
          <w:szCs w:val="24"/>
          <w:rtl/>
        </w:rPr>
        <w:t xml:space="preserve"> בפני בית מ</w:t>
      </w:r>
      <w:r w:rsidR="00BD26B0">
        <w:rPr>
          <w:rFonts w:ascii="David" w:hAnsi="David" w:cs="David"/>
          <w:sz w:val="24"/>
          <w:szCs w:val="24"/>
          <w:rtl/>
        </w:rPr>
        <w:t xml:space="preserve">שפט קמא קיימת תמונה חד צדדית </w:t>
      </w:r>
      <w:r w:rsidR="00BD26B0">
        <w:rPr>
          <w:rFonts w:ascii="David" w:hAnsi="David" w:cs="David" w:hint="cs"/>
          <w:sz w:val="24"/>
          <w:szCs w:val="24"/>
          <w:rtl/>
        </w:rPr>
        <w:t>ומטעה</w:t>
      </w:r>
      <w:r w:rsidR="00A57C48">
        <w:rPr>
          <w:rFonts w:ascii="David" w:hAnsi="David" w:cs="David"/>
          <w:sz w:val="24"/>
          <w:szCs w:val="24"/>
          <w:rtl/>
        </w:rPr>
        <w:t xml:space="preserve">, וכי הדבר מצוי במחלוקת משפטית מורכבת. </w:t>
      </w:r>
    </w:p>
    <w:p w:rsidR="00A57C48" w:rsidRDefault="00A57C48" w:rsidP="00A57C48">
      <w:pPr>
        <w:pStyle w:val="ad"/>
        <w:rPr>
          <w:rFonts w:ascii="David" w:hAnsi="David" w:cs="David"/>
          <w:sz w:val="24"/>
          <w:szCs w:val="24"/>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טוענת כי בהחלטות בית משפט קמא לא ניתן אישור למשיב להוסיף מסמכים ו/או לחקור אודות מסמכים אלה וכי במבחן התוצאה התיר </w:t>
      </w:r>
      <w:r w:rsidR="00BD26B0">
        <w:rPr>
          <w:rFonts w:ascii="David" w:hAnsi="David" w:cs="David" w:hint="cs"/>
          <w:sz w:val="24"/>
          <w:szCs w:val="24"/>
          <w:rtl/>
        </w:rPr>
        <w:t>בית משפט קמא למשיב,</w:t>
      </w:r>
      <w:r w:rsidR="00762A8B">
        <w:rPr>
          <w:rFonts w:ascii="David" w:hAnsi="David" w:cs="David" w:hint="cs"/>
          <w:sz w:val="24"/>
          <w:szCs w:val="24"/>
          <w:rtl/>
        </w:rPr>
        <w:t xml:space="preserve"> </w:t>
      </w:r>
      <w:r>
        <w:rPr>
          <w:rFonts w:ascii="David" w:hAnsi="David" w:cs="David"/>
          <w:sz w:val="24"/>
          <w:szCs w:val="24"/>
          <w:rtl/>
        </w:rPr>
        <w:t>דרך הדלת האחורית</w:t>
      </w:r>
      <w:r w:rsidR="00BD26B0">
        <w:rPr>
          <w:rFonts w:ascii="David" w:hAnsi="David" w:cs="David" w:hint="cs"/>
          <w:sz w:val="24"/>
          <w:szCs w:val="24"/>
          <w:rtl/>
        </w:rPr>
        <w:t xml:space="preserve"> של חקירה נגדית,</w:t>
      </w:r>
      <w:r>
        <w:rPr>
          <w:rFonts w:ascii="David" w:hAnsi="David" w:cs="David"/>
          <w:sz w:val="24"/>
          <w:szCs w:val="24"/>
          <w:rtl/>
        </w:rPr>
        <w:t xml:space="preserve"> את הסרת החיסיון מהתיק המקביל. </w:t>
      </w:r>
    </w:p>
    <w:p w:rsidR="00A57C48" w:rsidRDefault="00A57C48" w:rsidP="00A57C48">
      <w:pPr>
        <w:pStyle w:val="ad"/>
        <w:rPr>
          <w:rFonts w:ascii="David" w:hAnsi="David" w:cs="David"/>
          <w:sz w:val="24"/>
          <w:szCs w:val="24"/>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על כן, טוענת המבקשת כי יש לשלול את הראיות שהוספו בדיון המשלים מיום 15.03.2023 ומחיקת כלל השאלות מפרוטוקול הדיון הנוגעות למסמכים החסויים ואשר נאסרו לשימוש. לחילופין, מבקשת לאפשר לחקור את המשיב בחקירה משלימה אודות מצבו הכלכלי ואודות המסמכים אשר צורפו על ידו. </w:t>
      </w:r>
    </w:p>
    <w:p w:rsidR="00A57C48" w:rsidRDefault="00A57C48" w:rsidP="00A57C48">
      <w:pPr>
        <w:pStyle w:val="ad"/>
        <w:rPr>
          <w:rFonts w:ascii="David" w:hAnsi="David" w:cs="David"/>
          <w:sz w:val="24"/>
          <w:szCs w:val="24"/>
        </w:rPr>
      </w:pPr>
    </w:p>
    <w:p w:rsidR="00A57C48" w:rsidRDefault="00A57C48" w:rsidP="007422E4">
      <w:pPr>
        <w:pStyle w:val="ad"/>
        <w:numPr>
          <w:ilvl w:val="0"/>
          <w:numId w:val="1"/>
        </w:numPr>
        <w:spacing w:line="360" w:lineRule="auto"/>
        <w:jc w:val="both"/>
        <w:rPr>
          <w:rFonts w:ascii="David" w:hAnsi="David" w:cs="David"/>
          <w:sz w:val="24"/>
          <w:szCs w:val="24"/>
          <w:rtl/>
        </w:rPr>
      </w:pPr>
      <w:r>
        <w:rPr>
          <w:rFonts w:ascii="David" w:hAnsi="David" w:cs="David"/>
          <w:sz w:val="24"/>
          <w:szCs w:val="24"/>
          <w:rtl/>
        </w:rPr>
        <w:t>הת</w:t>
      </w:r>
      <w:r w:rsidR="00BD26B0">
        <w:rPr>
          <w:rFonts w:ascii="David" w:hAnsi="David" w:cs="David"/>
          <w:sz w:val="24"/>
          <w:szCs w:val="24"/>
          <w:rtl/>
        </w:rPr>
        <w:t>בקשה תשובת המשיב. לטענתו, לאחר שורת בקשות שמהות</w:t>
      </w:r>
      <w:r w:rsidR="00BD26B0">
        <w:rPr>
          <w:rFonts w:ascii="David" w:hAnsi="David" w:cs="David" w:hint="cs"/>
          <w:sz w:val="24"/>
          <w:szCs w:val="24"/>
          <w:rtl/>
        </w:rPr>
        <w:t>ן</w:t>
      </w:r>
      <w:r w:rsidR="00BD26B0">
        <w:rPr>
          <w:rFonts w:ascii="David" w:hAnsi="David" w:cs="David"/>
          <w:sz w:val="24"/>
          <w:szCs w:val="24"/>
          <w:rtl/>
        </w:rPr>
        <w:t xml:space="preserve"> "חשיפת שקריה של המ</w:t>
      </w:r>
      <w:r w:rsidR="00BD26B0">
        <w:rPr>
          <w:rFonts w:ascii="David" w:hAnsi="David" w:cs="David" w:hint="cs"/>
          <w:sz w:val="24"/>
          <w:szCs w:val="24"/>
          <w:rtl/>
        </w:rPr>
        <w:t>בקשת</w:t>
      </w:r>
      <w:r>
        <w:rPr>
          <w:rFonts w:ascii="David" w:hAnsi="David" w:cs="David"/>
          <w:sz w:val="24"/>
          <w:szCs w:val="24"/>
          <w:rtl/>
        </w:rPr>
        <w:t xml:space="preserve"> בפני בית משפט קמא על מנת להביא בפניו את המציאות האמיתית" ניתנה החלטת בית מ</w:t>
      </w:r>
      <w:r w:rsidR="00BD26B0">
        <w:rPr>
          <w:rFonts w:ascii="David" w:hAnsi="David" w:cs="David"/>
          <w:sz w:val="24"/>
          <w:szCs w:val="24"/>
          <w:rtl/>
        </w:rPr>
        <w:t xml:space="preserve">שפט קמא ביום 05.12.2022 אשר </w:t>
      </w:r>
      <w:r w:rsidR="00BD26B0">
        <w:rPr>
          <w:rFonts w:ascii="David" w:hAnsi="David" w:cs="David" w:hint="cs"/>
          <w:sz w:val="24"/>
          <w:szCs w:val="24"/>
          <w:rtl/>
        </w:rPr>
        <w:t>קובעת</w:t>
      </w:r>
      <w:r>
        <w:rPr>
          <w:rFonts w:ascii="David" w:hAnsi="David" w:cs="David"/>
          <w:sz w:val="24"/>
          <w:szCs w:val="24"/>
          <w:rtl/>
        </w:rPr>
        <w:t xml:space="preserve"> את המתוו</w:t>
      </w:r>
      <w:r w:rsidR="00BD26B0">
        <w:rPr>
          <w:rFonts w:ascii="David" w:hAnsi="David" w:cs="David"/>
          <w:sz w:val="24"/>
          <w:szCs w:val="24"/>
          <w:rtl/>
        </w:rPr>
        <w:t>ה הדיוני לחקירה המשלימה וכי על</w:t>
      </w:r>
      <w:r w:rsidR="00BD26B0">
        <w:rPr>
          <w:rFonts w:ascii="David" w:hAnsi="David" w:cs="David" w:hint="cs"/>
          <w:sz w:val="24"/>
          <w:szCs w:val="24"/>
          <w:rtl/>
        </w:rPr>
        <w:t xml:space="preserve"> החלטה זו לא הלינה</w:t>
      </w:r>
      <w:r>
        <w:rPr>
          <w:rFonts w:ascii="David" w:hAnsi="David" w:cs="David"/>
          <w:sz w:val="24"/>
          <w:szCs w:val="24"/>
          <w:rtl/>
        </w:rPr>
        <w:t xml:space="preserve"> המבקשת </w:t>
      </w:r>
      <w:r w:rsidR="00BD26B0">
        <w:rPr>
          <w:rFonts w:ascii="David" w:hAnsi="David" w:cs="David" w:hint="cs"/>
          <w:sz w:val="24"/>
          <w:szCs w:val="24"/>
          <w:rtl/>
        </w:rPr>
        <w:t>ו</w:t>
      </w:r>
      <w:r>
        <w:rPr>
          <w:rFonts w:ascii="David" w:hAnsi="David" w:cs="David"/>
          <w:sz w:val="24"/>
          <w:szCs w:val="24"/>
          <w:rtl/>
        </w:rPr>
        <w:t xml:space="preserve">לא הגישה </w:t>
      </w:r>
      <w:r w:rsidR="00BD26B0">
        <w:rPr>
          <w:rFonts w:ascii="David" w:hAnsi="David" w:cs="David" w:hint="cs"/>
          <w:sz w:val="24"/>
          <w:szCs w:val="24"/>
          <w:rtl/>
        </w:rPr>
        <w:t xml:space="preserve">בקשת רשות </w:t>
      </w:r>
      <w:r>
        <w:rPr>
          <w:rFonts w:ascii="David" w:hAnsi="David" w:cs="David"/>
          <w:sz w:val="24"/>
          <w:szCs w:val="24"/>
          <w:rtl/>
        </w:rPr>
        <w:t>ערעור. לטענתו,</w:t>
      </w:r>
      <w:r w:rsidR="00762A8B">
        <w:rPr>
          <w:rFonts w:ascii="David" w:hAnsi="David" w:cs="David"/>
          <w:sz w:val="24"/>
          <w:szCs w:val="24"/>
          <w:rtl/>
        </w:rPr>
        <w:t xml:space="preserve"> המבקשת בחרה שלא לזמן את מר ס</w:t>
      </w:r>
      <w:r w:rsidR="00762A8B">
        <w:rPr>
          <w:rFonts w:ascii="David" w:hAnsi="David" w:cs="David" w:hint="cs"/>
          <w:sz w:val="24"/>
          <w:szCs w:val="24"/>
          <w:rtl/>
        </w:rPr>
        <w:t>'</w:t>
      </w:r>
      <w:r>
        <w:rPr>
          <w:rFonts w:ascii="David" w:hAnsi="David" w:cs="David"/>
          <w:sz w:val="24"/>
          <w:szCs w:val="24"/>
          <w:rtl/>
        </w:rPr>
        <w:t xml:space="preserve"> שכן ידעה שעדותו תקעקע את גרסתה וכי אינה יכולה לדרוש את זימונו לעדות במסגרת בקשת רשות ערעור זו. עוד טוען המשיב כי המבקשת לא הצביעה על חיסיון קונקרטי לגבי איזה מהמסמכים אשר הוצגו לה בעת החקירה המשלימה. </w:t>
      </w:r>
    </w:p>
    <w:p w:rsidR="00A57C48" w:rsidRDefault="00A57C48" w:rsidP="00A57C48">
      <w:pPr>
        <w:pStyle w:val="ad"/>
        <w:rPr>
          <w:rFonts w:ascii="David" w:hAnsi="David" w:cs="David"/>
          <w:sz w:val="24"/>
          <w:szCs w:val="24"/>
        </w:rPr>
      </w:pPr>
    </w:p>
    <w:p w:rsidR="00A57C48" w:rsidRDefault="00762A8B"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המשיב, ההחלטות </w:t>
      </w:r>
      <w:r>
        <w:rPr>
          <w:rFonts w:ascii="David" w:hAnsi="David" w:cs="David" w:hint="cs"/>
          <w:sz w:val="24"/>
          <w:szCs w:val="24"/>
          <w:rtl/>
        </w:rPr>
        <w:t>מושא</w:t>
      </w:r>
      <w:r w:rsidR="00A57C48">
        <w:rPr>
          <w:rFonts w:ascii="David" w:hAnsi="David" w:cs="David"/>
          <w:sz w:val="24"/>
          <w:szCs w:val="24"/>
          <w:rtl/>
        </w:rPr>
        <w:t xml:space="preserve"> בקשת רשות הערעור הינן החלטות דיוניות גרידא אשר מצויות בשיקול דעתו של</w:t>
      </w:r>
      <w:r>
        <w:rPr>
          <w:rFonts w:ascii="David" w:hAnsi="David" w:cs="David"/>
          <w:sz w:val="24"/>
          <w:szCs w:val="24"/>
          <w:rtl/>
        </w:rPr>
        <w:t xml:space="preserve"> בית משפט קמא. בנוסף, טוען ה</w:t>
      </w:r>
      <w:r>
        <w:rPr>
          <w:rFonts w:ascii="David" w:hAnsi="David" w:cs="David" w:hint="cs"/>
          <w:sz w:val="24"/>
          <w:szCs w:val="24"/>
          <w:rtl/>
        </w:rPr>
        <w:t>משיב</w:t>
      </w:r>
      <w:r w:rsidR="00A57C48">
        <w:rPr>
          <w:rFonts w:ascii="David" w:hAnsi="David" w:cs="David"/>
          <w:sz w:val="24"/>
          <w:szCs w:val="24"/>
          <w:rtl/>
        </w:rPr>
        <w:t xml:space="preserve"> כי במסגרת ההחלטה מיום 05.12.2022 ניתנה האפשרות לזמן עדים לקראת הדיון </w:t>
      </w:r>
      <w:r w:rsidR="0002171A">
        <w:rPr>
          <w:rFonts w:ascii="David" w:hAnsi="David" w:cs="David"/>
          <w:sz w:val="24"/>
          <w:szCs w:val="24"/>
          <w:rtl/>
        </w:rPr>
        <w:t xml:space="preserve">והמבקשת בחרה מצידה שלא לעשות </w:t>
      </w:r>
      <w:r w:rsidR="0002171A">
        <w:rPr>
          <w:rFonts w:ascii="David" w:hAnsi="David" w:cs="David" w:hint="cs"/>
          <w:sz w:val="24"/>
          <w:szCs w:val="24"/>
          <w:rtl/>
        </w:rPr>
        <w:t>כן</w:t>
      </w:r>
      <w:r w:rsidR="00A57C48">
        <w:rPr>
          <w:rFonts w:ascii="David" w:hAnsi="David" w:cs="David"/>
          <w:sz w:val="24"/>
          <w:szCs w:val="24"/>
          <w:rtl/>
        </w:rPr>
        <w:t xml:space="preserve">. </w:t>
      </w:r>
    </w:p>
    <w:p w:rsidR="00A57C48" w:rsidRDefault="00A57C48" w:rsidP="00A57C48">
      <w:pPr>
        <w:pStyle w:val="ad"/>
        <w:rPr>
          <w:rFonts w:ascii="David" w:hAnsi="David" w:cs="David"/>
          <w:sz w:val="24"/>
          <w:szCs w:val="24"/>
        </w:rPr>
      </w:pPr>
    </w:p>
    <w:p w:rsidR="00A57C48" w:rsidRDefault="0002171A" w:rsidP="0002171A">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על פי </w:t>
      </w:r>
      <w:r>
        <w:rPr>
          <w:rFonts w:ascii="David" w:hAnsi="David" w:cs="David"/>
          <w:sz w:val="24"/>
          <w:szCs w:val="24"/>
          <w:rtl/>
        </w:rPr>
        <w:t>המשיב</w:t>
      </w:r>
      <w:r>
        <w:rPr>
          <w:rFonts w:ascii="David" w:hAnsi="David" w:cs="David" w:hint="cs"/>
          <w:sz w:val="24"/>
          <w:szCs w:val="24"/>
          <w:rtl/>
        </w:rPr>
        <w:t>,</w:t>
      </w:r>
      <w:r w:rsidR="00A57C48">
        <w:rPr>
          <w:rFonts w:ascii="David" w:hAnsi="David" w:cs="David"/>
          <w:sz w:val="24"/>
          <w:szCs w:val="24"/>
          <w:rtl/>
        </w:rPr>
        <w:t xml:space="preserve"> השקרים שלטענתו נחשפו בבית משפט קמא הם חמורים ביותר וכי אף בית משפט קמא ציין </w:t>
      </w:r>
      <w:r>
        <w:rPr>
          <w:rFonts w:ascii="David" w:hAnsi="David" w:cs="David" w:hint="cs"/>
          <w:sz w:val="24"/>
          <w:szCs w:val="24"/>
          <w:rtl/>
        </w:rPr>
        <w:t xml:space="preserve">זאת </w:t>
      </w:r>
      <w:r w:rsidR="00A57C48">
        <w:rPr>
          <w:rFonts w:ascii="David" w:hAnsi="David" w:cs="David"/>
          <w:sz w:val="24"/>
          <w:szCs w:val="24"/>
          <w:rtl/>
        </w:rPr>
        <w:t>בפרוטוקול הדיון מיום 15.03.2023 תוך שהוא מציע מתווה דיוני לפי סעיף 79א</w:t>
      </w:r>
      <w:r>
        <w:rPr>
          <w:rFonts w:ascii="David" w:hAnsi="David" w:cs="David"/>
          <w:sz w:val="24"/>
          <w:szCs w:val="24"/>
          <w:rtl/>
        </w:rPr>
        <w:t>'(א) לחוק בתי המשפט</w:t>
      </w:r>
      <w:r>
        <w:rPr>
          <w:rFonts w:ascii="David" w:hAnsi="David" w:cs="David" w:hint="cs"/>
          <w:sz w:val="24"/>
          <w:szCs w:val="24"/>
          <w:rtl/>
        </w:rPr>
        <w:t xml:space="preserve"> [נוסח משולב], התשמ"ד-1984,</w:t>
      </w:r>
      <w:r w:rsidR="00A57C48">
        <w:rPr>
          <w:rFonts w:ascii="David" w:hAnsi="David" w:cs="David"/>
          <w:sz w:val="24"/>
          <w:szCs w:val="24"/>
          <w:rtl/>
        </w:rPr>
        <w:t xml:space="preserve"> </w:t>
      </w:r>
      <w:r>
        <w:rPr>
          <w:rFonts w:ascii="David" w:hAnsi="David" w:cs="David" w:hint="cs"/>
          <w:sz w:val="24"/>
          <w:szCs w:val="24"/>
          <w:rtl/>
        </w:rPr>
        <w:t>ו</w:t>
      </w:r>
      <w:r w:rsidR="00A57C48">
        <w:rPr>
          <w:rFonts w:ascii="David" w:hAnsi="David" w:cs="David"/>
          <w:sz w:val="24"/>
          <w:szCs w:val="24"/>
          <w:rtl/>
        </w:rPr>
        <w:t>כי</w:t>
      </w:r>
      <w:r w:rsidR="00BD26B0">
        <w:rPr>
          <w:rFonts w:ascii="David" w:hAnsi="David" w:cs="David"/>
          <w:sz w:val="24"/>
          <w:szCs w:val="24"/>
          <w:rtl/>
        </w:rPr>
        <w:t xml:space="preserve"> קיים קושי רב בגרס</w:t>
      </w:r>
      <w:r>
        <w:rPr>
          <w:rFonts w:ascii="David" w:hAnsi="David" w:cs="David" w:hint="cs"/>
          <w:sz w:val="24"/>
          <w:szCs w:val="24"/>
          <w:rtl/>
        </w:rPr>
        <w:t>א</w:t>
      </w:r>
      <w:r>
        <w:rPr>
          <w:rFonts w:ascii="David" w:hAnsi="David" w:cs="David"/>
          <w:sz w:val="24"/>
          <w:szCs w:val="24"/>
          <w:rtl/>
        </w:rPr>
        <w:t xml:space="preserve">ותיה השונות </w:t>
      </w:r>
      <w:r>
        <w:rPr>
          <w:rFonts w:ascii="David" w:hAnsi="David" w:cs="David" w:hint="cs"/>
          <w:sz w:val="24"/>
          <w:szCs w:val="24"/>
          <w:rtl/>
        </w:rPr>
        <w:t>שמסרה</w:t>
      </w:r>
      <w:r w:rsidR="00762A8B">
        <w:rPr>
          <w:rFonts w:ascii="David" w:hAnsi="David" w:cs="David" w:hint="cs"/>
          <w:sz w:val="24"/>
          <w:szCs w:val="24"/>
          <w:rtl/>
        </w:rPr>
        <w:t xml:space="preserve"> המבקשת.</w:t>
      </w:r>
      <w:r w:rsidR="00A57C48">
        <w:rPr>
          <w:rFonts w:ascii="David" w:hAnsi="David" w:cs="David"/>
          <w:sz w:val="24"/>
          <w:szCs w:val="24"/>
          <w:rtl/>
        </w:rPr>
        <w:t xml:space="preserve"> </w:t>
      </w:r>
    </w:p>
    <w:p w:rsidR="00A57C48" w:rsidRDefault="00A57C48" w:rsidP="00A57C48">
      <w:pPr>
        <w:pStyle w:val="ad"/>
        <w:rPr>
          <w:rFonts w:ascii="David" w:hAnsi="David" w:cs="David"/>
          <w:sz w:val="24"/>
          <w:szCs w:val="24"/>
        </w:rPr>
      </w:pPr>
    </w:p>
    <w:p w:rsidR="00A57C48" w:rsidRDefault="00CB53C9"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בתשובתו</w:t>
      </w:r>
      <w:r>
        <w:rPr>
          <w:rFonts w:ascii="David" w:hAnsi="David" w:cs="David" w:hint="cs"/>
          <w:sz w:val="24"/>
          <w:szCs w:val="24"/>
          <w:rtl/>
        </w:rPr>
        <w:t xml:space="preserve"> מפרט </w:t>
      </w:r>
      <w:r>
        <w:rPr>
          <w:rFonts w:ascii="David" w:hAnsi="David" w:cs="David"/>
          <w:sz w:val="24"/>
          <w:szCs w:val="24"/>
          <w:rtl/>
        </w:rPr>
        <w:t>המשיב</w:t>
      </w:r>
      <w:r w:rsidR="00B446E9">
        <w:rPr>
          <w:rFonts w:ascii="David" w:hAnsi="David" w:cs="David" w:hint="cs"/>
          <w:sz w:val="24"/>
          <w:szCs w:val="24"/>
          <w:rtl/>
        </w:rPr>
        <w:t>, כך לטענתו,</w:t>
      </w:r>
      <w:r w:rsidR="00A57C48">
        <w:rPr>
          <w:rFonts w:ascii="David" w:hAnsi="David" w:cs="David"/>
          <w:sz w:val="24"/>
          <w:szCs w:val="24"/>
          <w:rtl/>
        </w:rPr>
        <w:t xml:space="preserve"> א</w:t>
      </w:r>
      <w:r w:rsidR="00B446E9">
        <w:rPr>
          <w:rFonts w:ascii="David" w:hAnsi="David" w:cs="David"/>
          <w:sz w:val="24"/>
          <w:szCs w:val="24"/>
          <w:rtl/>
        </w:rPr>
        <w:t>ת "תמצית שקריה של המבקשת"</w:t>
      </w:r>
      <w:r w:rsidR="00A57C48">
        <w:rPr>
          <w:rFonts w:ascii="David" w:hAnsi="David" w:cs="David"/>
          <w:sz w:val="24"/>
          <w:szCs w:val="24"/>
          <w:rtl/>
        </w:rPr>
        <w:t xml:space="preserve">, אשר התבררו בחקירה המשלימה. </w:t>
      </w:r>
    </w:p>
    <w:p w:rsidR="00A57C48" w:rsidRDefault="00A57C48" w:rsidP="00A57C48">
      <w:pPr>
        <w:pStyle w:val="ad"/>
        <w:rPr>
          <w:rFonts w:ascii="David" w:hAnsi="David" w:cs="David"/>
          <w:sz w:val="24"/>
          <w:szCs w:val="24"/>
        </w:rPr>
      </w:pPr>
    </w:p>
    <w:p w:rsidR="00A57C48" w:rsidRDefault="00A57C48" w:rsidP="00A57C48">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כן, מבקש המשיב לדחות את בקשת רשות הערעור.</w:t>
      </w:r>
    </w:p>
    <w:p w:rsidR="00A57C48" w:rsidRDefault="00A57C48" w:rsidP="00A57C48">
      <w:pPr>
        <w:spacing w:line="360" w:lineRule="auto"/>
        <w:jc w:val="both"/>
        <w:rPr>
          <w:rFonts w:ascii="David" w:hAnsi="David"/>
          <w:b/>
          <w:bCs/>
          <w:rtl/>
        </w:rPr>
      </w:pPr>
    </w:p>
    <w:p w:rsidR="00355D28" w:rsidRDefault="00355D28" w:rsidP="00355D28">
      <w:pPr>
        <w:spacing w:line="360" w:lineRule="auto"/>
        <w:jc w:val="both"/>
        <w:rPr>
          <w:rFonts w:ascii="David" w:hAnsi="David"/>
          <w:b/>
          <w:bCs/>
          <w:noProof w:val="0"/>
          <w:u w:val="single"/>
          <w:rtl/>
        </w:rPr>
      </w:pPr>
      <w:r>
        <w:rPr>
          <w:rFonts w:ascii="David" w:hAnsi="David"/>
          <w:b/>
          <w:bCs/>
          <w:u w:val="single"/>
          <w:rtl/>
        </w:rPr>
        <w:t>דיון והכרעה:</w:t>
      </w:r>
    </w:p>
    <w:p w:rsidR="00355D28" w:rsidRDefault="00355D28" w:rsidP="00355D28">
      <w:pPr>
        <w:spacing w:line="360" w:lineRule="auto"/>
        <w:jc w:val="both"/>
        <w:rPr>
          <w:rFonts w:ascii="David" w:hAnsi="David"/>
          <w:b/>
          <w:bCs/>
          <w:noProof w:val="0"/>
          <w:u w:val="single"/>
        </w:rPr>
      </w:pPr>
    </w:p>
    <w:p w:rsidR="0002171A" w:rsidRDefault="00355D28" w:rsidP="0002171A">
      <w:pPr>
        <w:pStyle w:val="ad"/>
        <w:numPr>
          <w:ilvl w:val="0"/>
          <w:numId w:val="1"/>
        </w:numPr>
        <w:spacing w:line="360" w:lineRule="auto"/>
        <w:jc w:val="both"/>
        <w:rPr>
          <w:rFonts w:ascii="David" w:hAnsi="David" w:cs="David"/>
          <w:sz w:val="24"/>
          <w:szCs w:val="24"/>
        </w:rPr>
      </w:pPr>
      <w:r w:rsidRPr="00355D28">
        <w:rPr>
          <w:rFonts w:ascii="David" w:hAnsi="David" w:cs="David"/>
          <w:sz w:val="24"/>
          <w:szCs w:val="24"/>
          <w:rtl/>
        </w:rPr>
        <w:t>לאחר קריאה מעמיקה של בקשת רשות הערעור על נספחיה, של תשובת המשיב ושל תיק בית משפט קמא</w:t>
      </w:r>
      <w:r w:rsidR="00762A8B">
        <w:rPr>
          <w:rFonts w:ascii="David" w:hAnsi="David" w:cs="David" w:hint="cs"/>
          <w:sz w:val="24"/>
          <w:szCs w:val="24"/>
          <w:rtl/>
        </w:rPr>
        <w:t>,</w:t>
      </w:r>
      <w:r w:rsidRPr="00355D28">
        <w:rPr>
          <w:rFonts w:ascii="David" w:hAnsi="David" w:cs="David"/>
          <w:sz w:val="24"/>
          <w:szCs w:val="24"/>
          <w:rtl/>
        </w:rPr>
        <w:t xml:space="preserve"> החלטתי </w:t>
      </w:r>
      <w:r w:rsidR="0002171A">
        <w:rPr>
          <w:rFonts w:ascii="David" w:hAnsi="David" w:cs="David" w:hint="cs"/>
          <w:sz w:val="24"/>
          <w:szCs w:val="24"/>
          <w:rtl/>
        </w:rPr>
        <w:t>לדחות את הבקשה.</w:t>
      </w:r>
    </w:p>
    <w:p w:rsidR="0002171A" w:rsidRPr="00762A8B" w:rsidRDefault="0002171A" w:rsidP="0002171A">
      <w:pPr>
        <w:pStyle w:val="ad"/>
        <w:spacing w:line="360" w:lineRule="auto"/>
        <w:jc w:val="both"/>
        <w:rPr>
          <w:rFonts w:ascii="David" w:hAnsi="David" w:cs="David"/>
          <w:sz w:val="24"/>
          <w:szCs w:val="24"/>
        </w:rPr>
      </w:pPr>
    </w:p>
    <w:p w:rsidR="00355D28" w:rsidRPr="00355D28" w:rsidRDefault="00355D28" w:rsidP="0002171A">
      <w:pPr>
        <w:pStyle w:val="ad"/>
        <w:numPr>
          <w:ilvl w:val="0"/>
          <w:numId w:val="1"/>
        </w:numPr>
        <w:spacing w:line="360" w:lineRule="auto"/>
        <w:jc w:val="both"/>
        <w:rPr>
          <w:rFonts w:ascii="David" w:hAnsi="David" w:cs="David"/>
          <w:sz w:val="24"/>
          <w:szCs w:val="24"/>
        </w:rPr>
      </w:pPr>
      <w:r w:rsidRPr="00355D28">
        <w:rPr>
          <w:rFonts w:ascii="David" w:hAnsi="David" w:cs="David"/>
          <w:sz w:val="24"/>
          <w:szCs w:val="24"/>
          <w:rtl/>
        </w:rPr>
        <w:t xml:space="preserve">כלל ידוע הוא כי לערכאה הדיונית נתון שיקול דעת רחב בעניינים דיוניים ובכללם גילוי ועיון במסמכים (ר' </w:t>
      </w:r>
      <w:hyperlink r:id="rId8" w:history="1">
        <w:r w:rsidRPr="00355D28">
          <w:rPr>
            <w:rStyle w:val="Hyperlink"/>
            <w:rFonts w:cs="David"/>
            <w:color w:val="auto"/>
            <w:sz w:val="24"/>
            <w:szCs w:val="24"/>
            <w:u w:val="none"/>
            <w:rtl/>
          </w:rPr>
          <w:t>רע"א 5424/16</w:t>
        </w:r>
      </w:hyperlink>
      <w:r w:rsidRPr="00355D28">
        <w:rPr>
          <w:rFonts w:ascii="David" w:hAnsi="David" w:cs="David"/>
          <w:sz w:val="24"/>
          <w:szCs w:val="24"/>
          <w:rtl/>
        </w:rPr>
        <w:t xml:space="preserve"> </w:t>
      </w:r>
      <w:r w:rsidRPr="00355D28">
        <w:rPr>
          <w:rFonts w:ascii="David" w:hAnsi="David" w:cs="David"/>
          <w:b/>
          <w:bCs/>
          <w:sz w:val="24"/>
          <w:szCs w:val="24"/>
          <w:rtl/>
        </w:rPr>
        <w:t>טינקו בע"מ נ' הפדרציה הישראלית לתקליטים וקלטות</w:t>
      </w:r>
      <w:r w:rsidRPr="00355D28">
        <w:rPr>
          <w:rFonts w:ascii="David" w:hAnsi="David" w:cs="David"/>
          <w:sz w:val="24"/>
          <w:szCs w:val="24"/>
          <w:rtl/>
        </w:rPr>
        <w:t xml:space="preserve"> (פורסם בנבו, 13.10.16) ; </w:t>
      </w:r>
      <w:hyperlink r:id="rId9" w:history="1">
        <w:r w:rsidRPr="00355D28">
          <w:rPr>
            <w:rStyle w:val="Hyperlink"/>
            <w:rFonts w:cs="David"/>
            <w:color w:val="auto"/>
            <w:sz w:val="24"/>
            <w:szCs w:val="24"/>
            <w:u w:val="none"/>
            <w:rtl/>
          </w:rPr>
          <w:t>רע"א 1869/15</w:t>
        </w:r>
      </w:hyperlink>
      <w:r w:rsidRPr="00355D28">
        <w:rPr>
          <w:rFonts w:ascii="David" w:hAnsi="David" w:cs="David"/>
          <w:sz w:val="24"/>
          <w:szCs w:val="24"/>
          <w:rtl/>
        </w:rPr>
        <w:t xml:space="preserve"> </w:t>
      </w:r>
      <w:r w:rsidRPr="00355D28">
        <w:rPr>
          <w:rFonts w:ascii="David" w:hAnsi="David" w:cs="David"/>
          <w:b/>
          <w:bCs/>
          <w:sz w:val="24"/>
          <w:szCs w:val="24"/>
          <w:rtl/>
        </w:rPr>
        <w:t>שמש נ' פארם אפ שיווק (1966) בע"מ</w:t>
      </w:r>
      <w:r w:rsidRPr="00355D28">
        <w:rPr>
          <w:rFonts w:ascii="David" w:hAnsi="David" w:cs="David"/>
          <w:sz w:val="24"/>
          <w:szCs w:val="24"/>
          <w:rtl/>
        </w:rPr>
        <w:t>, [פורסם בנבו] פסקה 6 (14.4.2015)).</w:t>
      </w:r>
      <w:r w:rsidR="0002171A">
        <w:rPr>
          <w:rFonts w:ascii="David" w:hAnsi="David" w:cs="David" w:hint="cs"/>
          <w:sz w:val="24"/>
          <w:szCs w:val="24"/>
          <w:rtl/>
        </w:rPr>
        <w:t xml:space="preserve"> הדברים אמורים גם ביחס לדרך שמיעת עדויות וקיום חקירות.</w:t>
      </w:r>
    </w:p>
    <w:p w:rsidR="00355D28" w:rsidRPr="0002171A" w:rsidRDefault="00355D28" w:rsidP="00355D28">
      <w:pPr>
        <w:pStyle w:val="ad"/>
        <w:rPr>
          <w:rFonts w:ascii="David" w:hAnsi="David" w:cs="David"/>
          <w:sz w:val="24"/>
          <w:szCs w:val="24"/>
        </w:rPr>
      </w:pPr>
    </w:p>
    <w:p w:rsidR="00E16EA6" w:rsidRDefault="007B133E" w:rsidP="008C3E7A">
      <w:pPr>
        <w:pStyle w:val="ad"/>
        <w:numPr>
          <w:ilvl w:val="0"/>
          <w:numId w:val="1"/>
        </w:numPr>
        <w:spacing w:line="360" w:lineRule="auto"/>
        <w:jc w:val="both"/>
        <w:rPr>
          <w:rFonts w:ascii="David" w:hAnsi="David" w:cs="David"/>
          <w:sz w:val="24"/>
          <w:szCs w:val="24"/>
        </w:rPr>
      </w:pPr>
      <w:r>
        <w:rPr>
          <w:rFonts w:ascii="David" w:hAnsi="David" w:cs="David" w:hint="cs"/>
          <w:sz w:val="24"/>
          <w:szCs w:val="24"/>
          <w:rtl/>
        </w:rPr>
        <w:t>דומה כי בענייננו, ההחלטה המרכזית שאפשרה קיום החקירה המשלימה</w:t>
      </w:r>
      <w:r w:rsidR="008C3E7A">
        <w:rPr>
          <w:rFonts w:ascii="David" w:hAnsi="David" w:cs="David" w:hint="cs"/>
          <w:sz w:val="24"/>
          <w:szCs w:val="24"/>
          <w:rtl/>
        </w:rPr>
        <w:t>, כאשר דרך נ</w:t>
      </w:r>
      <w:r w:rsidR="00762A8B">
        <w:rPr>
          <w:rFonts w:ascii="David" w:hAnsi="David" w:cs="David" w:hint="cs"/>
          <w:sz w:val="24"/>
          <w:szCs w:val="24"/>
          <w:rtl/>
        </w:rPr>
        <w:t>יהולה של חקירה זו היא העומדת במו</w:t>
      </w:r>
      <w:r w:rsidR="008C3E7A">
        <w:rPr>
          <w:rFonts w:ascii="David" w:hAnsi="David" w:cs="David" w:hint="cs"/>
          <w:sz w:val="24"/>
          <w:szCs w:val="24"/>
          <w:rtl/>
        </w:rPr>
        <w:t>קד בקשת רשות הערעור</w:t>
      </w:r>
      <w:r>
        <w:rPr>
          <w:rFonts w:ascii="David" w:hAnsi="David" w:cs="David" w:hint="cs"/>
          <w:sz w:val="24"/>
          <w:szCs w:val="24"/>
          <w:rtl/>
        </w:rPr>
        <w:t xml:space="preserve">, וכן </w:t>
      </w:r>
      <w:r w:rsidR="008C3E7A">
        <w:rPr>
          <w:rFonts w:ascii="David" w:hAnsi="David" w:cs="David" w:hint="cs"/>
          <w:sz w:val="24"/>
          <w:szCs w:val="24"/>
          <w:rtl/>
        </w:rPr>
        <w:t xml:space="preserve">ההחלטה </w:t>
      </w:r>
      <w:r w:rsidR="00CE19AB">
        <w:rPr>
          <w:rFonts w:ascii="David" w:hAnsi="David" w:cs="David" w:hint="cs"/>
          <w:sz w:val="24"/>
          <w:szCs w:val="24"/>
          <w:rtl/>
        </w:rPr>
        <w:t>ש</w:t>
      </w:r>
      <w:r w:rsidR="007A3A49">
        <w:rPr>
          <w:rFonts w:ascii="David" w:hAnsi="David" w:cs="David" w:hint="cs"/>
          <w:sz w:val="24"/>
          <w:szCs w:val="24"/>
          <w:rtl/>
        </w:rPr>
        <w:t>הכתיבה מהלך הדיון בישיבת 15.03.2023</w:t>
      </w:r>
      <w:r w:rsidR="008C3E7A">
        <w:rPr>
          <w:rFonts w:ascii="David" w:hAnsi="David" w:cs="David" w:hint="cs"/>
          <w:sz w:val="24"/>
          <w:szCs w:val="24"/>
          <w:rtl/>
        </w:rPr>
        <w:t>,</w:t>
      </w:r>
      <w:r w:rsidR="007A3A49">
        <w:rPr>
          <w:rFonts w:ascii="David" w:hAnsi="David" w:cs="David" w:hint="cs"/>
          <w:sz w:val="24"/>
          <w:szCs w:val="24"/>
          <w:rtl/>
        </w:rPr>
        <w:t xml:space="preserve"> ניתנה</w:t>
      </w:r>
      <w:r w:rsidR="008C3E7A">
        <w:rPr>
          <w:rFonts w:ascii="David" w:hAnsi="David" w:cs="David" w:hint="cs"/>
          <w:sz w:val="24"/>
          <w:szCs w:val="24"/>
        </w:rPr>
        <w:t xml:space="preserve"> </w:t>
      </w:r>
      <w:r w:rsidR="008C3E7A">
        <w:rPr>
          <w:rFonts w:ascii="David" w:hAnsi="David" w:cs="David" w:hint="cs"/>
          <w:sz w:val="24"/>
          <w:szCs w:val="24"/>
          <w:rtl/>
        </w:rPr>
        <w:t xml:space="preserve"> עוד</w:t>
      </w:r>
      <w:r w:rsidR="007A3A49">
        <w:rPr>
          <w:rFonts w:ascii="David" w:hAnsi="David" w:cs="David" w:hint="cs"/>
          <w:sz w:val="24"/>
          <w:szCs w:val="24"/>
          <w:rtl/>
        </w:rPr>
        <w:t xml:space="preserve"> ביום 05.12.2022, ועל החלטה זו לא הלינה המבקשת, שעה שחלק נכבד מטרוניותיה כעת, מקורן כאמור באותה החלטה מיום 05.12.2022. יתר על כן, החלטה זו, לרבות המתווה שנקבע בגדרה והסטיה</w:t>
      </w:r>
      <w:r w:rsidR="00DA7B48">
        <w:rPr>
          <w:rFonts w:ascii="David" w:hAnsi="David" w:cs="David" w:hint="cs"/>
          <w:sz w:val="24"/>
          <w:szCs w:val="24"/>
          <w:rtl/>
        </w:rPr>
        <w:t xml:space="preserve">, </w:t>
      </w:r>
      <w:r w:rsidR="00E16EA6">
        <w:rPr>
          <w:rFonts w:ascii="David" w:hAnsi="David" w:cs="David" w:hint="cs"/>
          <w:sz w:val="24"/>
          <w:szCs w:val="24"/>
          <w:rtl/>
        </w:rPr>
        <w:t xml:space="preserve">כך </w:t>
      </w:r>
      <w:r w:rsidR="00DA7B48">
        <w:rPr>
          <w:rFonts w:ascii="David" w:hAnsi="David" w:cs="David" w:hint="cs"/>
          <w:sz w:val="24"/>
          <w:szCs w:val="24"/>
          <w:rtl/>
        </w:rPr>
        <w:t>לטענת המבקשת, מהחלטות שבית משפט קמא</w:t>
      </w:r>
      <w:r w:rsidR="0002171A">
        <w:rPr>
          <w:rFonts w:ascii="David" w:hAnsi="David" w:cs="David" w:hint="cs"/>
          <w:sz w:val="24"/>
          <w:szCs w:val="24"/>
          <w:rtl/>
        </w:rPr>
        <w:t xml:space="preserve"> נת</w:t>
      </w:r>
      <w:r>
        <w:rPr>
          <w:rFonts w:ascii="David" w:hAnsi="David" w:cs="David" w:hint="cs"/>
          <w:sz w:val="24"/>
          <w:szCs w:val="24"/>
          <w:rtl/>
        </w:rPr>
        <w:t xml:space="preserve">ן קודם, </w:t>
      </w:r>
      <w:r w:rsidR="00DA7B48">
        <w:rPr>
          <w:rFonts w:ascii="David" w:hAnsi="David" w:cs="David" w:hint="cs"/>
          <w:sz w:val="24"/>
          <w:szCs w:val="24"/>
          <w:rtl/>
        </w:rPr>
        <w:t xml:space="preserve"> התאפשרו לאחר שהמותב קמא ערך מ</w:t>
      </w:r>
      <w:r w:rsidR="00E16EA6">
        <w:rPr>
          <w:rFonts w:ascii="David" w:hAnsi="David" w:cs="David" w:hint="cs"/>
          <w:sz w:val="24"/>
          <w:szCs w:val="24"/>
          <w:rtl/>
        </w:rPr>
        <w:t>לאכת איזון בין האינטרסים השונים</w:t>
      </w:r>
      <w:r w:rsidR="00DA7B48">
        <w:rPr>
          <w:rFonts w:ascii="David" w:hAnsi="David" w:cs="David" w:hint="cs"/>
          <w:sz w:val="24"/>
          <w:szCs w:val="24"/>
          <w:rtl/>
        </w:rPr>
        <w:t>, שקל את טענות הצדדים והשלב המתקדם אליו הגיע</w:t>
      </w:r>
      <w:r w:rsidR="00E16EA6">
        <w:rPr>
          <w:rFonts w:ascii="David" w:hAnsi="David" w:cs="David" w:hint="cs"/>
          <w:sz w:val="24"/>
          <w:szCs w:val="24"/>
          <w:rtl/>
        </w:rPr>
        <w:t xml:space="preserve"> ההליך</w:t>
      </w:r>
      <w:r w:rsidR="00DA7B48">
        <w:rPr>
          <w:rFonts w:ascii="David" w:hAnsi="David" w:cs="David" w:hint="cs"/>
          <w:sz w:val="24"/>
          <w:szCs w:val="24"/>
          <w:rtl/>
        </w:rPr>
        <w:t xml:space="preserve">, </w:t>
      </w:r>
      <w:r w:rsidR="00E16EA6">
        <w:rPr>
          <w:rFonts w:ascii="David" w:hAnsi="David" w:cs="David" w:hint="cs"/>
          <w:sz w:val="24"/>
          <w:szCs w:val="24"/>
          <w:rtl/>
        </w:rPr>
        <w:t xml:space="preserve">אל מול החשיבות להגיע לחקר האמת. </w:t>
      </w:r>
    </w:p>
    <w:p w:rsidR="00E16EA6" w:rsidRPr="00E16EA6" w:rsidRDefault="00E16EA6" w:rsidP="00E16EA6">
      <w:pPr>
        <w:pStyle w:val="ad"/>
        <w:rPr>
          <w:rFonts w:ascii="David" w:hAnsi="David" w:cs="David"/>
          <w:sz w:val="24"/>
          <w:szCs w:val="24"/>
          <w:rtl/>
        </w:rPr>
      </w:pPr>
    </w:p>
    <w:p w:rsidR="005B2E33" w:rsidRDefault="00E16EA6" w:rsidP="005B2E33">
      <w:pPr>
        <w:pStyle w:val="ad"/>
        <w:numPr>
          <w:ilvl w:val="0"/>
          <w:numId w:val="1"/>
        </w:numPr>
        <w:spacing w:line="360" w:lineRule="auto"/>
        <w:jc w:val="both"/>
        <w:rPr>
          <w:rFonts w:ascii="David" w:hAnsi="David" w:cs="David"/>
          <w:sz w:val="24"/>
          <w:szCs w:val="24"/>
        </w:rPr>
      </w:pPr>
      <w:r>
        <w:rPr>
          <w:rFonts w:ascii="David" w:hAnsi="David" w:cs="David" w:hint="cs"/>
          <w:sz w:val="24"/>
          <w:szCs w:val="24"/>
          <w:rtl/>
        </w:rPr>
        <w:t>יתר על כן, מהלך הדיון שהתקיים ביום 15.03.2023, שב בית משפט ק</w:t>
      </w:r>
      <w:r w:rsidR="005B2E33">
        <w:rPr>
          <w:rFonts w:ascii="David" w:hAnsi="David" w:cs="David" w:hint="cs"/>
          <w:sz w:val="24"/>
          <w:szCs w:val="24"/>
          <w:rtl/>
        </w:rPr>
        <w:t>מא והציע למבקשת להפסיק את חקירתה הנגדית</w:t>
      </w:r>
      <w:r>
        <w:rPr>
          <w:rFonts w:ascii="David" w:hAnsi="David" w:cs="David" w:hint="cs"/>
          <w:sz w:val="24"/>
          <w:szCs w:val="24"/>
          <w:rtl/>
        </w:rPr>
        <w:t xml:space="preserve"> ולדחות הדיון למועד מאוחר, על מנת לאפשר למבקשת </w:t>
      </w:r>
      <w:r w:rsidR="005B2E33">
        <w:rPr>
          <w:rFonts w:ascii="David" w:hAnsi="David" w:cs="David" w:hint="cs"/>
          <w:sz w:val="24"/>
          <w:szCs w:val="24"/>
          <w:rtl/>
        </w:rPr>
        <w:t>להסדיר ייצוגה ע"י עו"ד שיהא באפשרותו להתנגד לשאלות המופנות אליה, הגם שבית משפט קמא הבהיר כי הוא אמון על זכותה לפרטיות, ולא יאפשר שחקירתה הנגדית תפגע בזכויותיה, אך המבקשת סירבה להצעתו.</w:t>
      </w:r>
    </w:p>
    <w:p w:rsidR="005B2E33" w:rsidRPr="009557F2" w:rsidRDefault="005B2E33" w:rsidP="005B2E33">
      <w:pPr>
        <w:pStyle w:val="ad"/>
        <w:rPr>
          <w:rFonts w:ascii="David" w:hAnsi="David" w:cs="David"/>
          <w:sz w:val="24"/>
          <w:szCs w:val="24"/>
          <w:rtl/>
        </w:rPr>
      </w:pPr>
    </w:p>
    <w:p w:rsidR="00881069" w:rsidRPr="009557F2" w:rsidRDefault="005B2E33" w:rsidP="00881069">
      <w:pPr>
        <w:pStyle w:val="ae"/>
        <w:spacing w:line="360" w:lineRule="auto"/>
        <w:ind w:left="720" w:firstLine="0"/>
        <w:rPr>
          <w:rFonts w:ascii="David" w:hAnsi="David" w:cs="David"/>
          <w:sz w:val="24"/>
          <w:rtl/>
        </w:rPr>
      </w:pPr>
      <w:r w:rsidRPr="009557F2">
        <w:rPr>
          <w:rFonts w:ascii="David" w:hAnsi="David" w:cs="David"/>
          <w:sz w:val="24"/>
          <w:rtl/>
        </w:rPr>
        <w:lastRenderedPageBreak/>
        <w:t>אמנם, בקשת רשות הערעור מעוררת שאל</w:t>
      </w:r>
      <w:r w:rsidR="00833F0A">
        <w:rPr>
          <w:rFonts w:ascii="David" w:hAnsi="David" w:cs="David" w:hint="cs"/>
          <w:sz w:val="24"/>
          <w:rtl/>
        </w:rPr>
        <w:t>ות</w:t>
      </w:r>
      <w:r w:rsidR="00833F0A">
        <w:rPr>
          <w:rFonts w:ascii="David" w:hAnsi="David" w:cs="David"/>
          <w:sz w:val="24"/>
          <w:rtl/>
        </w:rPr>
        <w:t xml:space="preserve"> לא פשוט</w:t>
      </w:r>
      <w:r w:rsidR="00833F0A">
        <w:rPr>
          <w:rFonts w:ascii="David" w:hAnsi="David" w:cs="David" w:hint="cs"/>
          <w:sz w:val="24"/>
          <w:rtl/>
        </w:rPr>
        <w:t>ות</w:t>
      </w:r>
      <w:r w:rsidRPr="009557F2">
        <w:rPr>
          <w:rFonts w:ascii="David" w:hAnsi="David" w:cs="David"/>
          <w:sz w:val="24"/>
          <w:rtl/>
        </w:rPr>
        <w:t xml:space="preserve">, </w:t>
      </w:r>
      <w:r w:rsidR="00894FB9" w:rsidRPr="009557F2">
        <w:rPr>
          <w:rFonts w:ascii="David" w:hAnsi="David" w:cs="David"/>
          <w:sz w:val="24"/>
          <w:rtl/>
        </w:rPr>
        <w:t>סביב זכותו של בעל דין</w:t>
      </w:r>
      <w:r w:rsidR="00B26325" w:rsidRPr="009557F2">
        <w:rPr>
          <w:rFonts w:ascii="David" w:hAnsi="David" w:cs="David"/>
          <w:sz w:val="24"/>
          <w:rtl/>
        </w:rPr>
        <w:t xml:space="preserve"> הבוחר שלא להיות מיוצג ואשר ה</w:t>
      </w:r>
      <w:r w:rsidR="00894FB9" w:rsidRPr="009557F2">
        <w:rPr>
          <w:rFonts w:ascii="David" w:hAnsi="David" w:cs="David"/>
          <w:sz w:val="24"/>
          <w:rtl/>
        </w:rPr>
        <w:t>עיד לעצמו ונחקר</w:t>
      </w:r>
      <w:r w:rsidR="00B26325" w:rsidRPr="009557F2">
        <w:rPr>
          <w:rFonts w:ascii="David" w:hAnsi="David" w:cs="David"/>
          <w:sz w:val="24"/>
          <w:rtl/>
        </w:rPr>
        <w:t xml:space="preserve"> בחקירה שכנגד</w:t>
      </w:r>
      <w:r w:rsidR="00894FB9" w:rsidRPr="009557F2">
        <w:rPr>
          <w:rFonts w:ascii="David" w:hAnsi="David" w:cs="David"/>
          <w:sz w:val="24"/>
          <w:rtl/>
        </w:rPr>
        <w:t xml:space="preserve">, </w:t>
      </w:r>
      <w:r w:rsidR="0097034E" w:rsidRPr="009557F2">
        <w:rPr>
          <w:rFonts w:ascii="David" w:hAnsi="David" w:cs="David"/>
          <w:sz w:val="24"/>
          <w:rtl/>
        </w:rPr>
        <w:t>להתנגד לשאלות המופנות אליו וכן הזכות</w:t>
      </w:r>
      <w:r w:rsidR="00894FB9" w:rsidRPr="009557F2">
        <w:rPr>
          <w:rFonts w:ascii="David" w:hAnsi="David" w:cs="David"/>
          <w:sz w:val="24"/>
          <w:rtl/>
        </w:rPr>
        <w:t xml:space="preserve"> </w:t>
      </w:r>
      <w:r w:rsidR="0097034E" w:rsidRPr="009557F2">
        <w:rPr>
          <w:rFonts w:ascii="David" w:hAnsi="David" w:cs="David"/>
          <w:sz w:val="24"/>
          <w:rtl/>
        </w:rPr>
        <w:t>ל</w:t>
      </w:r>
      <w:r w:rsidR="00894FB9" w:rsidRPr="009557F2">
        <w:rPr>
          <w:rFonts w:ascii="David" w:hAnsi="David" w:cs="David"/>
          <w:sz w:val="24"/>
          <w:rtl/>
        </w:rPr>
        <w:t xml:space="preserve">חקירה חוזרת </w:t>
      </w:r>
      <w:r w:rsidR="00833F0A">
        <w:rPr>
          <w:rFonts w:ascii="David" w:hAnsi="David" w:cs="David"/>
          <w:sz w:val="24"/>
          <w:rtl/>
        </w:rPr>
        <w:t>שעה שבחר לייצג את עצמו</w:t>
      </w:r>
      <w:r w:rsidR="00881069">
        <w:rPr>
          <w:rFonts w:ascii="David" w:hAnsi="David" w:cs="David" w:hint="cs"/>
          <w:sz w:val="24"/>
          <w:rtl/>
        </w:rPr>
        <w:t xml:space="preserve">. </w:t>
      </w:r>
    </w:p>
    <w:p w:rsidR="00881069" w:rsidRDefault="00833F0A" w:rsidP="00833F0A">
      <w:pPr>
        <w:pStyle w:val="ae"/>
        <w:spacing w:line="360" w:lineRule="auto"/>
        <w:ind w:left="720" w:firstLine="0"/>
        <w:rPr>
          <w:rFonts w:ascii="David" w:hAnsi="David" w:cs="David"/>
          <w:sz w:val="24"/>
          <w:rtl/>
        </w:rPr>
      </w:pPr>
      <w:r>
        <w:rPr>
          <w:rFonts w:ascii="David" w:hAnsi="David" w:cs="David" w:hint="cs"/>
          <w:sz w:val="24"/>
          <w:rtl/>
        </w:rPr>
        <w:t xml:space="preserve">מבלי לקבוע מסמרות, </w:t>
      </w:r>
      <w:r w:rsidR="00881069">
        <w:rPr>
          <w:rFonts w:ascii="David" w:hAnsi="David" w:cs="David" w:hint="cs"/>
          <w:sz w:val="24"/>
          <w:rtl/>
        </w:rPr>
        <w:t xml:space="preserve">נראה כי </w:t>
      </w:r>
      <w:r>
        <w:rPr>
          <w:rFonts w:ascii="David" w:hAnsi="David" w:cs="David" w:hint="cs"/>
          <w:sz w:val="24"/>
          <w:rtl/>
        </w:rPr>
        <w:t>יש להשיב על חלקה</w:t>
      </w:r>
      <w:r w:rsidR="00B26325" w:rsidRPr="009557F2">
        <w:rPr>
          <w:rFonts w:ascii="David" w:hAnsi="David" w:cs="David"/>
          <w:sz w:val="24"/>
          <w:rtl/>
        </w:rPr>
        <w:t xml:space="preserve"> </w:t>
      </w:r>
      <w:r>
        <w:rPr>
          <w:rFonts w:ascii="David" w:hAnsi="David" w:cs="David" w:hint="cs"/>
          <w:sz w:val="24"/>
          <w:rtl/>
        </w:rPr>
        <w:t xml:space="preserve">הראשון של השאלה בחיוב, ולאפשר לו ברגיל, להתנגד לשאלות </w:t>
      </w:r>
      <w:r w:rsidR="00881069">
        <w:rPr>
          <w:rFonts w:ascii="David" w:hAnsi="David" w:cs="David" w:hint="cs"/>
          <w:sz w:val="24"/>
          <w:rtl/>
        </w:rPr>
        <w:t xml:space="preserve">מטעמים המעוגנים בדין. </w:t>
      </w:r>
    </w:p>
    <w:p w:rsidR="0097034E" w:rsidRDefault="0097034E" w:rsidP="0097034E">
      <w:pPr>
        <w:spacing w:line="360" w:lineRule="auto"/>
        <w:ind w:left="720"/>
        <w:jc w:val="both"/>
        <w:rPr>
          <w:rFonts w:ascii="David" w:hAnsi="David"/>
          <w:rtl/>
        </w:rPr>
      </w:pPr>
      <w:r>
        <w:rPr>
          <w:rFonts w:ascii="David" w:hAnsi="David" w:hint="cs"/>
          <w:rtl/>
        </w:rPr>
        <w:t xml:space="preserve">כזכור, על פי המבקשת, </w:t>
      </w:r>
      <w:r w:rsidR="005B2E33">
        <w:rPr>
          <w:rFonts w:ascii="David" w:hAnsi="David" w:hint="cs"/>
          <w:rtl/>
        </w:rPr>
        <w:t xml:space="preserve">בחירתה לייצג את עצמה, אינה פוגמת בזכותה להתנגד לשאלות או </w:t>
      </w:r>
      <w:r w:rsidR="00894FB9">
        <w:rPr>
          <w:rFonts w:ascii="David" w:hAnsi="David" w:hint="cs"/>
          <w:rtl/>
        </w:rPr>
        <w:t>למסור עדות או התייחסות לשאלות</w:t>
      </w:r>
      <w:r>
        <w:rPr>
          <w:rFonts w:ascii="David" w:hAnsi="David" w:hint="cs"/>
          <w:rtl/>
        </w:rPr>
        <w:t xml:space="preserve"> שהופנו אליה מהלך חקירתה</w:t>
      </w:r>
      <w:r w:rsidR="00894FB9">
        <w:rPr>
          <w:rFonts w:ascii="David" w:hAnsi="David" w:hint="cs"/>
          <w:rtl/>
        </w:rPr>
        <w:t xml:space="preserve"> </w:t>
      </w:r>
      <w:r>
        <w:rPr>
          <w:rFonts w:ascii="David" w:hAnsi="David" w:hint="cs"/>
          <w:rtl/>
        </w:rPr>
        <w:t>ה</w:t>
      </w:r>
      <w:r w:rsidR="00894FB9">
        <w:rPr>
          <w:rFonts w:ascii="David" w:hAnsi="David" w:hint="cs"/>
          <w:rtl/>
        </w:rPr>
        <w:t xml:space="preserve">נגדית, דבר שלא התאפשר לה ע"י בית משפט קמא. </w:t>
      </w:r>
    </w:p>
    <w:p w:rsidR="0097034E" w:rsidRDefault="0097034E" w:rsidP="009557F2">
      <w:pPr>
        <w:spacing w:line="360" w:lineRule="auto"/>
        <w:jc w:val="both"/>
        <w:rPr>
          <w:rFonts w:ascii="David" w:hAnsi="David"/>
          <w:rtl/>
        </w:rPr>
      </w:pPr>
    </w:p>
    <w:p w:rsidR="00881069" w:rsidRPr="004A68D0" w:rsidRDefault="00881069" w:rsidP="00881069">
      <w:pPr>
        <w:pStyle w:val="ae"/>
        <w:spacing w:line="360" w:lineRule="auto"/>
        <w:ind w:left="720" w:firstLine="0"/>
        <w:rPr>
          <w:rFonts w:ascii="David" w:hAnsi="David" w:cs="David"/>
          <w:sz w:val="24"/>
          <w:rtl/>
        </w:rPr>
      </w:pPr>
      <w:r w:rsidRPr="004A68D0">
        <w:rPr>
          <w:rFonts w:ascii="David" w:hAnsi="David" w:cs="David"/>
          <w:rtl/>
        </w:rPr>
        <w:t xml:space="preserve">אמנם, לכאורה, </w:t>
      </w:r>
      <w:r w:rsidRPr="004A68D0">
        <w:rPr>
          <w:rFonts w:ascii="David" w:hAnsi="David" w:cs="David"/>
          <w:sz w:val="24"/>
          <w:rtl/>
        </w:rPr>
        <w:t xml:space="preserve">בקשת רשות הערעור מעלה </w:t>
      </w:r>
      <w:r w:rsidR="00B468B1">
        <w:rPr>
          <w:rFonts w:ascii="David" w:hAnsi="David" w:cs="David" w:hint="cs"/>
          <w:sz w:val="24"/>
          <w:rtl/>
        </w:rPr>
        <w:t xml:space="preserve">את </w:t>
      </w:r>
      <w:r w:rsidRPr="004A68D0">
        <w:rPr>
          <w:rFonts w:ascii="David" w:hAnsi="David" w:cs="David"/>
          <w:sz w:val="24"/>
          <w:rtl/>
        </w:rPr>
        <w:t>השאלה האם ניתנה למבקשת הזדמנות נאותה וראויה, לעשות שימוש בזכויות הדיוניות העומדות לרשות בעל-דין, ולבירור הולם והוגן של טענותיה, או שמא נמנעה ממנה הזכות להליך הוגן?</w:t>
      </w:r>
    </w:p>
    <w:p w:rsidR="005B2E33" w:rsidRDefault="0097034E" w:rsidP="009557F2">
      <w:pPr>
        <w:spacing w:line="360" w:lineRule="auto"/>
        <w:ind w:left="720"/>
        <w:jc w:val="both"/>
        <w:rPr>
          <w:rFonts w:ascii="David" w:hAnsi="David"/>
          <w:rtl/>
        </w:rPr>
      </w:pPr>
      <w:r>
        <w:rPr>
          <w:rFonts w:ascii="David" w:hAnsi="David" w:hint="cs"/>
          <w:rtl/>
        </w:rPr>
        <w:t>יחד עם זאת</w:t>
      </w:r>
      <w:r w:rsidR="00894FB9">
        <w:rPr>
          <w:rFonts w:ascii="David" w:hAnsi="David" w:hint="cs"/>
          <w:rtl/>
        </w:rPr>
        <w:t xml:space="preserve"> לא מצאתי כי בנסיבות דנן נפגמו זכויותיה </w:t>
      </w:r>
      <w:r w:rsidR="009557F2">
        <w:rPr>
          <w:rFonts w:ascii="David" w:hAnsi="David" w:hint="cs"/>
          <w:rtl/>
        </w:rPr>
        <w:t xml:space="preserve">של המבקשת </w:t>
      </w:r>
      <w:r w:rsidR="00894FB9">
        <w:rPr>
          <w:rFonts w:ascii="David" w:hAnsi="David" w:hint="cs"/>
          <w:rtl/>
        </w:rPr>
        <w:t>באורח המצדיק התע</w:t>
      </w:r>
      <w:r>
        <w:rPr>
          <w:rFonts w:ascii="David" w:hAnsi="David" w:hint="cs"/>
          <w:rtl/>
        </w:rPr>
        <w:t>ר</w:t>
      </w:r>
      <w:r w:rsidR="00894FB9">
        <w:rPr>
          <w:rFonts w:ascii="David" w:hAnsi="David" w:hint="cs"/>
          <w:rtl/>
        </w:rPr>
        <w:t xml:space="preserve">בות ערכאת הערעור בהחלטה, בשלב זה, </w:t>
      </w:r>
      <w:r w:rsidR="004A68D0">
        <w:rPr>
          <w:rFonts w:ascii="David" w:hAnsi="David" w:hint="cs"/>
          <w:rtl/>
        </w:rPr>
        <w:t>וזאת בעיקר משום השלב בו מצוי ההליך דנן, בגדרו</w:t>
      </w:r>
      <w:r w:rsidR="00894FB9">
        <w:rPr>
          <w:rFonts w:ascii="David" w:hAnsi="David" w:hint="cs"/>
          <w:rtl/>
        </w:rPr>
        <w:t xml:space="preserve"> הוגשו סיכומי הצדדים, ובית המשפט אמור ליתן הכרעתו בתובענה במסגרת פסק דין.</w:t>
      </w:r>
      <w:r w:rsidR="009557F2">
        <w:rPr>
          <w:rFonts w:ascii="David" w:hAnsi="David" w:hint="cs"/>
          <w:rtl/>
        </w:rPr>
        <w:t xml:space="preserve"> כמו כן, </w:t>
      </w:r>
      <w:r>
        <w:rPr>
          <w:rFonts w:ascii="David" w:hAnsi="David" w:hint="cs"/>
          <w:rtl/>
        </w:rPr>
        <w:t>ככל שהבקשה מופנית כנגד קבלת ראיות או עדויות, לרבות תשובות שמסרה המבקשת בעקבות חקירה נגדית הנסמכת על ראיות חסויות, עדי</w:t>
      </w:r>
      <w:r w:rsidR="009557F2">
        <w:rPr>
          <w:rFonts w:ascii="David" w:hAnsi="David" w:hint="cs"/>
          <w:rtl/>
        </w:rPr>
        <w:t xml:space="preserve">ין מחובתו של בית משפט </w:t>
      </w:r>
      <w:r>
        <w:rPr>
          <w:rFonts w:ascii="David" w:hAnsi="David" w:hint="cs"/>
          <w:rtl/>
        </w:rPr>
        <w:t xml:space="preserve">קמא </w:t>
      </w:r>
      <w:r w:rsidR="009557F2">
        <w:rPr>
          <w:rFonts w:ascii="David" w:hAnsi="David" w:hint="cs"/>
          <w:rtl/>
        </w:rPr>
        <w:t>ליתן דע</w:t>
      </w:r>
      <w:r w:rsidR="00B468B1">
        <w:rPr>
          <w:rFonts w:ascii="David" w:hAnsi="David" w:hint="cs"/>
          <w:rtl/>
        </w:rPr>
        <w:t>תו למשקלן של ראיות אלה</w:t>
      </w:r>
      <w:r w:rsidR="009557F2">
        <w:rPr>
          <w:rFonts w:ascii="David" w:hAnsi="David" w:hint="cs"/>
          <w:rtl/>
        </w:rPr>
        <w:t>, וכן לדרך בה הושגו או הוצגו, וכי משום העדר ייצוג, נמנע מהמבקשת להתנגד להן או ליתן התייחסותה לחלקן במסגרת חקירה חוזרת.</w:t>
      </w:r>
    </w:p>
    <w:p w:rsidR="00894FB9" w:rsidRDefault="00894FB9" w:rsidP="005B2E33">
      <w:pPr>
        <w:spacing w:line="360" w:lineRule="auto"/>
        <w:ind w:left="720"/>
        <w:jc w:val="both"/>
        <w:rPr>
          <w:rFonts w:ascii="David" w:hAnsi="David"/>
          <w:rtl/>
        </w:rPr>
      </w:pPr>
    </w:p>
    <w:p w:rsidR="00833F0A" w:rsidRDefault="009557F2" w:rsidP="00833F0A">
      <w:pPr>
        <w:spacing w:line="360" w:lineRule="auto"/>
        <w:ind w:left="720"/>
        <w:jc w:val="both"/>
        <w:rPr>
          <w:rFonts w:ascii="Arial" w:hAnsi="Arial"/>
          <w:noProof w:val="0"/>
        </w:rPr>
      </w:pPr>
      <w:r>
        <w:rPr>
          <w:rFonts w:ascii="David" w:hAnsi="David" w:hint="cs"/>
          <w:rtl/>
        </w:rPr>
        <w:t xml:space="preserve">ועל הכל, </w:t>
      </w:r>
      <w:r w:rsidR="00E8679A">
        <w:rPr>
          <w:rFonts w:ascii="Arial" w:hAnsi="Arial"/>
          <w:noProof w:val="0"/>
          <w:rtl/>
        </w:rPr>
        <w:t>מדובר בהחלט</w:t>
      </w:r>
      <w:r w:rsidR="00E8679A">
        <w:rPr>
          <w:rFonts w:ascii="Arial" w:hAnsi="Arial" w:hint="cs"/>
          <w:noProof w:val="0"/>
          <w:rtl/>
        </w:rPr>
        <w:t xml:space="preserve">ות </w:t>
      </w:r>
      <w:r w:rsidR="00833F0A">
        <w:rPr>
          <w:rFonts w:ascii="Arial" w:hAnsi="Arial"/>
          <w:noProof w:val="0"/>
          <w:rtl/>
        </w:rPr>
        <w:t>אחר</w:t>
      </w:r>
      <w:r w:rsidR="00E8679A">
        <w:rPr>
          <w:rFonts w:ascii="Arial" w:hAnsi="Arial" w:hint="cs"/>
          <w:noProof w:val="0"/>
          <w:rtl/>
        </w:rPr>
        <w:t>ו</w:t>
      </w:r>
      <w:r w:rsidR="00833F0A">
        <w:rPr>
          <w:rFonts w:ascii="Arial" w:hAnsi="Arial"/>
          <w:noProof w:val="0"/>
          <w:rtl/>
        </w:rPr>
        <w:t>ת</w:t>
      </w:r>
      <w:r w:rsidR="00E8679A">
        <w:rPr>
          <w:rFonts w:ascii="Arial" w:hAnsi="Arial" w:hint="cs"/>
          <w:noProof w:val="0"/>
          <w:rtl/>
        </w:rPr>
        <w:t>, כך גם בעניין הגשת הסיכומים,</w:t>
      </w:r>
      <w:r w:rsidR="00833F0A">
        <w:rPr>
          <w:rFonts w:ascii="Arial" w:hAnsi="Arial"/>
          <w:noProof w:val="0"/>
          <w:rtl/>
        </w:rPr>
        <w:t xml:space="preserve"> עליה</w:t>
      </w:r>
      <w:r w:rsidR="00E8679A">
        <w:rPr>
          <w:rFonts w:ascii="Arial" w:hAnsi="Arial" w:hint="cs"/>
          <w:noProof w:val="0"/>
          <w:rtl/>
        </w:rPr>
        <w:t>ן</w:t>
      </w:r>
      <w:r w:rsidR="00833F0A">
        <w:rPr>
          <w:rFonts w:ascii="Arial" w:hAnsi="Arial"/>
          <w:noProof w:val="0"/>
          <w:rtl/>
        </w:rPr>
        <w:t xml:space="preserve"> ניתן להשיג בזכות במסגרת ערעור על פסק הדין, ומתן רשות ערעור עליה</w:t>
      </w:r>
      <w:r w:rsidR="00E8679A">
        <w:rPr>
          <w:rFonts w:ascii="Arial" w:hAnsi="Arial" w:hint="cs"/>
          <w:noProof w:val="0"/>
          <w:rtl/>
        </w:rPr>
        <w:t>ן</w:t>
      </w:r>
      <w:r w:rsidR="00833F0A">
        <w:rPr>
          <w:rFonts w:ascii="Arial" w:hAnsi="Arial"/>
          <w:noProof w:val="0"/>
          <w:rtl/>
        </w:rPr>
        <w:t xml:space="preserve"> מוסדר בסעיף 52 (ב) לחוק בתי המשפט [נוסח משולב], תשמ"ד-1984. ככלל, התערבותה של ערכאת הערעור בהחלטות ביניים של הערכאה הדיונית תיבחן בהתאם "למידתו ולעוצמתו של הצורך בהכרעה מיידית בשאלת נכונותה של החלטת הביניים" (ראו רע"א 7682/06 </w:t>
      </w:r>
      <w:r w:rsidR="00833F0A">
        <w:rPr>
          <w:rFonts w:ascii="Arial" w:hAnsi="Arial"/>
          <w:b/>
          <w:bCs/>
          <w:noProof w:val="0"/>
          <w:rtl/>
        </w:rPr>
        <w:t>אליהו חברה לביטוח בע"מ נ' אלוש</w:t>
      </w:r>
      <w:r w:rsidR="00833F0A">
        <w:rPr>
          <w:rFonts w:ascii="Arial" w:hAnsi="Arial"/>
          <w:noProof w:val="0"/>
          <w:rtl/>
        </w:rPr>
        <w:t xml:space="preserve"> (25.6.2007)) ולא מצאתי כי נסיבות הבקשה שלפני נופלות בגדר החריגים המצדיקים התערבות בהחלטה אחרת של בית משפט קמא, וכי קיים צורך בהכרעה מיידית בשאלת נכונותה או כי יגרם נזק כלשהו למבקש</w:t>
      </w:r>
      <w:r w:rsidR="00833F0A">
        <w:rPr>
          <w:rFonts w:ascii="Arial" w:hAnsi="Arial" w:hint="cs"/>
          <w:noProof w:val="0"/>
          <w:rtl/>
        </w:rPr>
        <w:t>ת</w:t>
      </w:r>
      <w:r w:rsidR="00833F0A">
        <w:rPr>
          <w:rFonts w:ascii="Arial" w:hAnsi="Arial"/>
          <w:noProof w:val="0"/>
          <w:rtl/>
        </w:rPr>
        <w:t>, במידה ושאלה זו תתברר במסגרת הערעור על פסק הדין הסופי.</w:t>
      </w:r>
    </w:p>
    <w:p w:rsidR="00B26325" w:rsidRPr="00833F0A" w:rsidRDefault="00B26325" w:rsidP="005B2E33">
      <w:pPr>
        <w:spacing w:line="360" w:lineRule="auto"/>
        <w:ind w:left="720"/>
        <w:jc w:val="both"/>
        <w:rPr>
          <w:rFonts w:ascii="David" w:hAnsi="David"/>
          <w:rtl/>
        </w:rPr>
      </w:pPr>
    </w:p>
    <w:p w:rsidR="00833F0A" w:rsidRDefault="00833F0A" w:rsidP="00CB53C9">
      <w:pPr>
        <w:spacing w:line="360" w:lineRule="auto"/>
        <w:ind w:left="720"/>
        <w:jc w:val="both"/>
        <w:rPr>
          <w:rFonts w:ascii="David" w:hAnsi="David"/>
          <w:rtl/>
        </w:rPr>
      </w:pPr>
      <w:r>
        <w:rPr>
          <w:rFonts w:ascii="David" w:hAnsi="David" w:hint="cs"/>
          <w:rtl/>
        </w:rPr>
        <w:t xml:space="preserve">הבקשה </w:t>
      </w:r>
      <w:r w:rsidR="00E8679A">
        <w:rPr>
          <w:rFonts w:ascii="David" w:hAnsi="David" w:hint="cs"/>
          <w:rtl/>
        </w:rPr>
        <w:t>נדחית</w:t>
      </w:r>
      <w:r w:rsidR="00CB53C9">
        <w:rPr>
          <w:rFonts w:ascii="David" w:hAnsi="David" w:hint="cs"/>
          <w:rtl/>
        </w:rPr>
        <w:t>, ללא צו להוצאות.</w:t>
      </w:r>
    </w:p>
    <w:p w:rsidR="00CB53C9" w:rsidRDefault="00CB53C9" w:rsidP="00CB53C9">
      <w:pPr>
        <w:spacing w:line="360" w:lineRule="auto"/>
        <w:ind w:left="720"/>
        <w:jc w:val="both"/>
        <w:rPr>
          <w:rFonts w:ascii="David" w:hAnsi="David"/>
          <w:rtl/>
        </w:rPr>
      </w:pPr>
    </w:p>
    <w:p w:rsidR="00CB53C9" w:rsidRDefault="00CB53C9" w:rsidP="00CB53C9">
      <w:pPr>
        <w:spacing w:line="360" w:lineRule="auto"/>
        <w:ind w:left="720"/>
        <w:jc w:val="both"/>
        <w:rPr>
          <w:rFonts w:ascii="David" w:hAnsi="David"/>
          <w:rtl/>
        </w:rPr>
      </w:pPr>
    </w:p>
    <w:p w:rsidR="00CB53C9" w:rsidRDefault="00CB53C9" w:rsidP="00CB53C9">
      <w:pPr>
        <w:spacing w:line="360" w:lineRule="auto"/>
        <w:ind w:left="720"/>
        <w:jc w:val="both"/>
        <w:rPr>
          <w:rFonts w:ascii="David" w:hAnsi="David"/>
          <w:rtl/>
        </w:rPr>
      </w:pPr>
    </w:p>
    <w:p w:rsidR="00833F0A" w:rsidRDefault="00833F0A" w:rsidP="00CB53C9">
      <w:pPr>
        <w:spacing w:line="360" w:lineRule="auto"/>
        <w:ind w:left="720"/>
        <w:jc w:val="both"/>
        <w:rPr>
          <w:rFonts w:ascii="David" w:hAnsi="David"/>
          <w:rtl/>
        </w:rPr>
      </w:pPr>
      <w:r>
        <w:rPr>
          <w:rFonts w:ascii="David" w:hAnsi="David" w:hint="cs"/>
          <w:rtl/>
        </w:rPr>
        <w:t xml:space="preserve">עירבון </w:t>
      </w:r>
      <w:r w:rsidR="00CB53C9">
        <w:rPr>
          <w:rFonts w:ascii="David" w:hAnsi="David" w:hint="cs"/>
          <w:rtl/>
        </w:rPr>
        <w:t>שהופקד יוחזר לידי המבקשת.</w:t>
      </w:r>
    </w:p>
    <w:p w:rsidR="00CB53C9" w:rsidRDefault="00CB53C9" w:rsidP="00CB53C9">
      <w:pPr>
        <w:spacing w:line="360" w:lineRule="auto"/>
        <w:ind w:left="720"/>
        <w:jc w:val="both"/>
        <w:rPr>
          <w:rFonts w:ascii="David" w:hAnsi="David"/>
          <w:rtl/>
        </w:rPr>
      </w:pPr>
    </w:p>
    <w:p w:rsidR="00694556" w:rsidRPr="00CE19AB" w:rsidRDefault="00833F0A" w:rsidP="00CE19AB">
      <w:pPr>
        <w:spacing w:line="360" w:lineRule="auto"/>
        <w:ind w:left="720"/>
        <w:jc w:val="both"/>
        <w:rPr>
          <w:rFonts w:ascii="David" w:hAnsi="David"/>
          <w:rtl/>
        </w:rPr>
      </w:pPr>
      <w:r>
        <w:rPr>
          <w:rFonts w:ascii="David" w:hAnsi="David" w:hint="cs"/>
          <w:rtl/>
        </w:rPr>
        <w:t>מותר לפרסום לאחר מחיקת שמות המדדים ופרטים מזהים.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אוגוסט 2023</w:t>
          </w:r>
        </w:sdtContent>
      </w:sdt>
      <w:r w:rsidR="00005C8B">
        <w:rPr>
          <w:rFonts w:ascii="Arial" w:hAnsi="Arial"/>
          <w:noProof w:val="0"/>
          <w:rtl/>
        </w:rPr>
        <w:t>, בהעדר הצדדים.</w:t>
      </w:r>
    </w:p>
    <w:p w:rsidR="00C43648" w:rsidRDefault="00B2117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94145813"/>
        </w:sdtPr>
        <w:sdtEndPr/>
        <w:sdtContent>
          <w:r w:rsidR="005223A1">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A57C48">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171" w:rsidRDefault="00B21171">
      <w:r>
        <w:separator/>
      </w:r>
    </w:p>
  </w:endnote>
  <w:endnote w:type="continuationSeparator" w:id="0">
    <w:p w:rsidR="00B21171" w:rsidRDefault="00B2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E22" w:rsidRDefault="00AC1E2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388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388C">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E22" w:rsidRDefault="00AC1E2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171" w:rsidRDefault="00B21171">
      <w:r>
        <w:separator/>
      </w:r>
    </w:p>
  </w:footnote>
  <w:footnote w:type="continuationSeparator" w:id="0">
    <w:p w:rsidR="00B21171" w:rsidRDefault="00B2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E22" w:rsidRDefault="00AC1E2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21171" w:rsidP="00762A8B">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25996-04-23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62A8B">
                <w:rPr>
                  <w:b/>
                  <w:bCs/>
                  <w:noProof w:val="0"/>
                  <w:sz w:val="26"/>
                  <w:szCs w:val="26"/>
                  <w:rtl/>
                </w:rPr>
                <w:t>ע</w:t>
              </w:r>
              <w:r w:rsidR="00762A8B">
                <w:rPr>
                  <w:rFonts w:hint="cs"/>
                  <w:b/>
                  <w:bCs/>
                  <w:noProof w:val="0"/>
                  <w:sz w:val="26"/>
                  <w:szCs w:val="26"/>
                  <w:rtl/>
                </w:rPr>
                <w:t>'</w:t>
              </w:r>
              <w:r w:rsidR="00B859C5">
                <w:rPr>
                  <w:b/>
                  <w:bCs/>
                  <w:noProof w:val="0"/>
                  <w:sz w:val="26"/>
                  <w:szCs w:val="26"/>
                  <w:rtl/>
                </w:rPr>
                <w:t xml:space="preserve"> נ' א</w:t>
              </w:r>
              <w:r w:rsidR="00762A8B">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E22" w:rsidRDefault="00AC1E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3216F0"/>
    <w:multiLevelType w:val="hybridMultilevel"/>
    <w:tmpl w:val="26EED336"/>
    <w:lvl w:ilvl="0" w:tplc="C0FC347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0F14DE1"/>
    <w:multiLevelType w:val="hybridMultilevel"/>
    <w:tmpl w:val="A1001A32"/>
    <w:lvl w:ilvl="0" w:tplc="0B1EE16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A755E88"/>
    <w:multiLevelType w:val="hybridMultilevel"/>
    <w:tmpl w:val="5FA6F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3A4"/>
    <w:rsid w:val="0002171A"/>
    <w:rsid w:val="000529D2"/>
    <w:rsid w:val="00055BC2"/>
    <w:rsid w:val="000564AB"/>
    <w:rsid w:val="00061181"/>
    <w:rsid w:val="00064FBD"/>
    <w:rsid w:val="000672D3"/>
    <w:rsid w:val="0007424C"/>
    <w:rsid w:val="00076CB2"/>
    <w:rsid w:val="00082AB2"/>
    <w:rsid w:val="000906FE"/>
    <w:rsid w:val="000910DE"/>
    <w:rsid w:val="00096AF7"/>
    <w:rsid w:val="000B344B"/>
    <w:rsid w:val="000B78B3"/>
    <w:rsid w:val="000C3B0F"/>
    <w:rsid w:val="000C3B60"/>
    <w:rsid w:val="000D14D7"/>
    <w:rsid w:val="000E0DD2"/>
    <w:rsid w:val="000E3AF1"/>
    <w:rsid w:val="000F0BC8"/>
    <w:rsid w:val="000F0DD6"/>
    <w:rsid w:val="000F388C"/>
    <w:rsid w:val="00107E6D"/>
    <w:rsid w:val="0011194C"/>
    <w:rsid w:val="0011424C"/>
    <w:rsid w:val="001173C6"/>
    <w:rsid w:val="00122A9F"/>
    <w:rsid w:val="001367BC"/>
    <w:rsid w:val="00144D2A"/>
    <w:rsid w:val="0014653E"/>
    <w:rsid w:val="001561BB"/>
    <w:rsid w:val="001745D9"/>
    <w:rsid w:val="00180519"/>
    <w:rsid w:val="00191C82"/>
    <w:rsid w:val="001C4003"/>
    <w:rsid w:val="001C4AEE"/>
    <w:rsid w:val="001D4DBF"/>
    <w:rsid w:val="001E75CA"/>
    <w:rsid w:val="002265FF"/>
    <w:rsid w:val="00271B56"/>
    <w:rsid w:val="00272E32"/>
    <w:rsid w:val="00284EAE"/>
    <w:rsid w:val="002B1DA2"/>
    <w:rsid w:val="002B2611"/>
    <w:rsid w:val="002C344E"/>
    <w:rsid w:val="002C3B61"/>
    <w:rsid w:val="002E75E9"/>
    <w:rsid w:val="002F0B1E"/>
    <w:rsid w:val="00307A6A"/>
    <w:rsid w:val="00307C40"/>
    <w:rsid w:val="00320433"/>
    <w:rsid w:val="00320A3A"/>
    <w:rsid w:val="00322ED4"/>
    <w:rsid w:val="003230C7"/>
    <w:rsid w:val="00327E50"/>
    <w:rsid w:val="00335788"/>
    <w:rsid w:val="0033597A"/>
    <w:rsid w:val="003425FA"/>
    <w:rsid w:val="00343D89"/>
    <w:rsid w:val="00355D28"/>
    <w:rsid w:val="00362612"/>
    <w:rsid w:val="0036743F"/>
    <w:rsid w:val="003715DD"/>
    <w:rsid w:val="003823E0"/>
    <w:rsid w:val="003A4521"/>
    <w:rsid w:val="003D1C8C"/>
    <w:rsid w:val="003E38C7"/>
    <w:rsid w:val="0040045E"/>
    <w:rsid w:val="0040096C"/>
    <w:rsid w:val="00414F1F"/>
    <w:rsid w:val="00423B9E"/>
    <w:rsid w:val="0043125D"/>
    <w:rsid w:val="0043502B"/>
    <w:rsid w:val="004443AC"/>
    <w:rsid w:val="00444B02"/>
    <w:rsid w:val="00451E28"/>
    <w:rsid w:val="00462C62"/>
    <w:rsid w:val="00465D36"/>
    <w:rsid w:val="00474B68"/>
    <w:rsid w:val="004A68D0"/>
    <w:rsid w:val="004A7610"/>
    <w:rsid w:val="004C17EE"/>
    <w:rsid w:val="004C4BDF"/>
    <w:rsid w:val="004D1187"/>
    <w:rsid w:val="004D3AA0"/>
    <w:rsid w:val="004D407C"/>
    <w:rsid w:val="004E1987"/>
    <w:rsid w:val="004E2E15"/>
    <w:rsid w:val="004E5B41"/>
    <w:rsid w:val="004E6E3C"/>
    <w:rsid w:val="0050563B"/>
    <w:rsid w:val="00520898"/>
    <w:rsid w:val="005223A1"/>
    <w:rsid w:val="00523621"/>
    <w:rsid w:val="00524986"/>
    <w:rsid w:val="005268F6"/>
    <w:rsid w:val="00531060"/>
    <w:rsid w:val="00534284"/>
    <w:rsid w:val="0054627D"/>
    <w:rsid w:val="00547DB7"/>
    <w:rsid w:val="00557717"/>
    <w:rsid w:val="00576A86"/>
    <w:rsid w:val="00581745"/>
    <w:rsid w:val="00583308"/>
    <w:rsid w:val="005867CF"/>
    <w:rsid w:val="005B2E33"/>
    <w:rsid w:val="005F4F09"/>
    <w:rsid w:val="00603F73"/>
    <w:rsid w:val="0061431B"/>
    <w:rsid w:val="00622BAA"/>
    <w:rsid w:val="006306CF"/>
    <w:rsid w:val="00644DE5"/>
    <w:rsid w:val="00644E9A"/>
    <w:rsid w:val="0065783D"/>
    <w:rsid w:val="00671BD5"/>
    <w:rsid w:val="006805C1"/>
    <w:rsid w:val="00686C21"/>
    <w:rsid w:val="006931C1"/>
    <w:rsid w:val="00693E5E"/>
    <w:rsid w:val="00694556"/>
    <w:rsid w:val="006B16FB"/>
    <w:rsid w:val="006C30C5"/>
    <w:rsid w:val="006C67CD"/>
    <w:rsid w:val="006D3B31"/>
    <w:rsid w:val="006E0D96"/>
    <w:rsid w:val="006E1A53"/>
    <w:rsid w:val="006E2674"/>
    <w:rsid w:val="006F56E6"/>
    <w:rsid w:val="0070201A"/>
    <w:rsid w:val="00704EDA"/>
    <w:rsid w:val="00721122"/>
    <w:rsid w:val="00734689"/>
    <w:rsid w:val="007351F7"/>
    <w:rsid w:val="007422E4"/>
    <w:rsid w:val="00744042"/>
    <w:rsid w:val="00753019"/>
    <w:rsid w:val="00754801"/>
    <w:rsid w:val="00761441"/>
    <w:rsid w:val="00762A8B"/>
    <w:rsid w:val="00795365"/>
    <w:rsid w:val="007A351D"/>
    <w:rsid w:val="007A3A49"/>
    <w:rsid w:val="007B133E"/>
    <w:rsid w:val="007B2169"/>
    <w:rsid w:val="007B7765"/>
    <w:rsid w:val="007C2453"/>
    <w:rsid w:val="007C5BDD"/>
    <w:rsid w:val="007D2498"/>
    <w:rsid w:val="007D45E3"/>
    <w:rsid w:val="007D65FA"/>
    <w:rsid w:val="007E6115"/>
    <w:rsid w:val="007F4609"/>
    <w:rsid w:val="00805EFF"/>
    <w:rsid w:val="00814468"/>
    <w:rsid w:val="008176A1"/>
    <w:rsid w:val="00820005"/>
    <w:rsid w:val="00833F0A"/>
    <w:rsid w:val="00844318"/>
    <w:rsid w:val="00860102"/>
    <w:rsid w:val="00863F5D"/>
    <w:rsid w:val="00870890"/>
    <w:rsid w:val="008717F2"/>
    <w:rsid w:val="00873602"/>
    <w:rsid w:val="00875D12"/>
    <w:rsid w:val="00876170"/>
    <w:rsid w:val="00881069"/>
    <w:rsid w:val="008845AC"/>
    <w:rsid w:val="0088479D"/>
    <w:rsid w:val="00891F42"/>
    <w:rsid w:val="00894FB9"/>
    <w:rsid w:val="00896889"/>
    <w:rsid w:val="008A28FA"/>
    <w:rsid w:val="008A3773"/>
    <w:rsid w:val="008A6E97"/>
    <w:rsid w:val="008C3E7A"/>
    <w:rsid w:val="008C5714"/>
    <w:rsid w:val="008D10B2"/>
    <w:rsid w:val="008D3DD3"/>
    <w:rsid w:val="008D6FE0"/>
    <w:rsid w:val="008F2370"/>
    <w:rsid w:val="00903896"/>
    <w:rsid w:val="00906F3D"/>
    <w:rsid w:val="0094424E"/>
    <w:rsid w:val="00955642"/>
    <w:rsid w:val="009557F2"/>
    <w:rsid w:val="009622DF"/>
    <w:rsid w:val="0096493F"/>
    <w:rsid w:val="00967DFF"/>
    <w:rsid w:val="0097034E"/>
    <w:rsid w:val="00994341"/>
    <w:rsid w:val="009D1A48"/>
    <w:rsid w:val="009E1CE7"/>
    <w:rsid w:val="009E461A"/>
    <w:rsid w:val="009E4EA5"/>
    <w:rsid w:val="009F164B"/>
    <w:rsid w:val="009F323C"/>
    <w:rsid w:val="00A14D30"/>
    <w:rsid w:val="00A21D8C"/>
    <w:rsid w:val="00A3392B"/>
    <w:rsid w:val="00A46717"/>
    <w:rsid w:val="00A57C48"/>
    <w:rsid w:val="00A85E34"/>
    <w:rsid w:val="00A9144F"/>
    <w:rsid w:val="00A94B64"/>
    <w:rsid w:val="00AA3229"/>
    <w:rsid w:val="00AA7596"/>
    <w:rsid w:val="00AB3AE3"/>
    <w:rsid w:val="00AB5E52"/>
    <w:rsid w:val="00AC1E22"/>
    <w:rsid w:val="00AC3B02"/>
    <w:rsid w:val="00AC3B7B"/>
    <w:rsid w:val="00AC5209"/>
    <w:rsid w:val="00AE0E34"/>
    <w:rsid w:val="00AE729E"/>
    <w:rsid w:val="00AE7752"/>
    <w:rsid w:val="00AF7FDA"/>
    <w:rsid w:val="00B21171"/>
    <w:rsid w:val="00B26325"/>
    <w:rsid w:val="00B446E9"/>
    <w:rsid w:val="00B468B1"/>
    <w:rsid w:val="00B51E18"/>
    <w:rsid w:val="00B5356E"/>
    <w:rsid w:val="00B6370C"/>
    <w:rsid w:val="00B809AD"/>
    <w:rsid w:val="00B80CBD"/>
    <w:rsid w:val="00B859C5"/>
    <w:rsid w:val="00B86096"/>
    <w:rsid w:val="00B93221"/>
    <w:rsid w:val="00B964D9"/>
    <w:rsid w:val="00BA0A7C"/>
    <w:rsid w:val="00BA1FEA"/>
    <w:rsid w:val="00BA517C"/>
    <w:rsid w:val="00BB3D05"/>
    <w:rsid w:val="00BB53D3"/>
    <w:rsid w:val="00BB73BE"/>
    <w:rsid w:val="00BC2D89"/>
    <w:rsid w:val="00BD16B7"/>
    <w:rsid w:val="00BD26B0"/>
    <w:rsid w:val="00BD6531"/>
    <w:rsid w:val="00BE05B2"/>
    <w:rsid w:val="00BE337D"/>
    <w:rsid w:val="00BF1908"/>
    <w:rsid w:val="00C148DD"/>
    <w:rsid w:val="00C1494E"/>
    <w:rsid w:val="00C22D93"/>
    <w:rsid w:val="00C23458"/>
    <w:rsid w:val="00C23AC9"/>
    <w:rsid w:val="00C31120"/>
    <w:rsid w:val="00C34482"/>
    <w:rsid w:val="00C43648"/>
    <w:rsid w:val="00C43F53"/>
    <w:rsid w:val="00C50A9F"/>
    <w:rsid w:val="00C642FA"/>
    <w:rsid w:val="00C770E3"/>
    <w:rsid w:val="00CB53C9"/>
    <w:rsid w:val="00CC7622"/>
    <w:rsid w:val="00CD608F"/>
    <w:rsid w:val="00CE19AB"/>
    <w:rsid w:val="00CF6BB7"/>
    <w:rsid w:val="00D04AA4"/>
    <w:rsid w:val="00D27982"/>
    <w:rsid w:val="00D3107B"/>
    <w:rsid w:val="00D33B86"/>
    <w:rsid w:val="00D44968"/>
    <w:rsid w:val="00D53924"/>
    <w:rsid w:val="00D5431B"/>
    <w:rsid w:val="00D55D0C"/>
    <w:rsid w:val="00D96D8C"/>
    <w:rsid w:val="00DA1FCD"/>
    <w:rsid w:val="00DA6649"/>
    <w:rsid w:val="00DA7B48"/>
    <w:rsid w:val="00DC1259"/>
    <w:rsid w:val="00DC1BD2"/>
    <w:rsid w:val="00DC1CC8"/>
    <w:rsid w:val="00DC2571"/>
    <w:rsid w:val="00DC487C"/>
    <w:rsid w:val="00DD05A8"/>
    <w:rsid w:val="00DD4335"/>
    <w:rsid w:val="00DE1E7D"/>
    <w:rsid w:val="00DE60DF"/>
    <w:rsid w:val="00DE6BF6"/>
    <w:rsid w:val="00E00709"/>
    <w:rsid w:val="00E1068A"/>
    <w:rsid w:val="00E162A7"/>
    <w:rsid w:val="00E16EA6"/>
    <w:rsid w:val="00E25884"/>
    <w:rsid w:val="00E25B55"/>
    <w:rsid w:val="00E31C2B"/>
    <w:rsid w:val="00E5426A"/>
    <w:rsid w:val="00E54642"/>
    <w:rsid w:val="00E80CBE"/>
    <w:rsid w:val="00E83799"/>
    <w:rsid w:val="00E8679A"/>
    <w:rsid w:val="00E9269D"/>
    <w:rsid w:val="00E962E3"/>
    <w:rsid w:val="00EA258E"/>
    <w:rsid w:val="00EB6C79"/>
    <w:rsid w:val="00EC37E9"/>
    <w:rsid w:val="00F038D8"/>
    <w:rsid w:val="00F06995"/>
    <w:rsid w:val="00F12D66"/>
    <w:rsid w:val="00F13623"/>
    <w:rsid w:val="00F44D1D"/>
    <w:rsid w:val="00F84B6D"/>
    <w:rsid w:val="00F86745"/>
    <w:rsid w:val="00F872DC"/>
    <w:rsid w:val="00F957E8"/>
    <w:rsid w:val="00F96B87"/>
    <w:rsid w:val="00FA311A"/>
    <w:rsid w:val="00FA44AE"/>
    <w:rsid w:val="00FA5FDA"/>
    <w:rsid w:val="00FB6AB3"/>
    <w:rsid w:val="00FB77C0"/>
    <w:rsid w:val="00FD1419"/>
    <w:rsid w:val="00FD60EA"/>
    <w:rsid w:val="00FD62B4"/>
    <w:rsid w:val="00FD79E4"/>
    <w:rsid w:val="00FE2894"/>
    <w:rsid w:val="00FE6CEB"/>
    <w:rsid w:val="00FF301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57C48"/>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semiHidden/>
    <w:unhideWhenUsed/>
    <w:rsid w:val="00355D28"/>
    <w:rPr>
      <w:rFonts w:ascii="Times New Roman" w:hAnsi="Times New Roman" w:cs="Times New Roman" w:hint="default"/>
      <w:color w:val="0000FF"/>
      <w:u w:val="single"/>
    </w:rPr>
  </w:style>
  <w:style w:type="paragraph" w:styleId="NormalWeb">
    <w:name w:val="Normal (Web)"/>
    <w:basedOn w:val="a"/>
    <w:unhideWhenUsed/>
    <w:rsid w:val="00355D28"/>
    <w:pPr>
      <w:bidi w:val="0"/>
      <w:spacing w:before="100" w:beforeAutospacing="1" w:after="100" w:afterAutospacing="1"/>
    </w:pPr>
    <w:rPr>
      <w:rFonts w:eastAsia="Calibri" w:cs="Times New Roman"/>
      <w:noProof w:val="0"/>
    </w:rPr>
  </w:style>
  <w:style w:type="paragraph" w:customStyle="1" w:styleId="ae">
    <w:name w:val="כללי"/>
    <w:basedOn w:val="a"/>
    <w:rsid w:val="00B6370C"/>
    <w:pPr>
      <w:overflowPunct w:val="0"/>
      <w:autoSpaceDE w:val="0"/>
      <w:autoSpaceDN w:val="0"/>
      <w:adjustRightInd w:val="0"/>
      <w:spacing w:after="240" w:line="286"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987231">
      <w:bodyDiv w:val="1"/>
      <w:marLeft w:val="0"/>
      <w:marRight w:val="0"/>
      <w:marTop w:val="0"/>
      <w:marBottom w:val="0"/>
      <w:divBdr>
        <w:top w:val="none" w:sz="0" w:space="0" w:color="auto"/>
        <w:left w:val="none" w:sz="0" w:space="0" w:color="auto"/>
        <w:bottom w:val="none" w:sz="0" w:space="0" w:color="auto"/>
        <w:right w:val="none" w:sz="0" w:space="0" w:color="auto"/>
      </w:divBdr>
    </w:div>
    <w:div w:id="9715916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659256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254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1476127"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20114780"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977D1" w:rsidP="00E977D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E0C15"/>
    <w:rsid w:val="0046579B"/>
    <w:rsid w:val="0048651F"/>
    <w:rsid w:val="005157ED"/>
    <w:rsid w:val="005171E8"/>
    <w:rsid w:val="00556D67"/>
    <w:rsid w:val="00793995"/>
    <w:rsid w:val="007C6F98"/>
    <w:rsid w:val="007E254A"/>
    <w:rsid w:val="00817811"/>
    <w:rsid w:val="008B4366"/>
    <w:rsid w:val="009133C7"/>
    <w:rsid w:val="009178E4"/>
    <w:rsid w:val="00961B27"/>
    <w:rsid w:val="0098505A"/>
    <w:rsid w:val="009A4BEE"/>
    <w:rsid w:val="00A51CA1"/>
    <w:rsid w:val="00AA7CE3"/>
    <w:rsid w:val="00AC0ADB"/>
    <w:rsid w:val="00AD53D7"/>
    <w:rsid w:val="00B50DB2"/>
    <w:rsid w:val="00B91FA3"/>
    <w:rsid w:val="00BE6557"/>
    <w:rsid w:val="00C96C06"/>
    <w:rsid w:val="00CE1DCB"/>
    <w:rsid w:val="00D24521"/>
    <w:rsid w:val="00E31BF6"/>
    <w:rsid w:val="00E81DB1"/>
    <w:rsid w:val="00E977D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77D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977D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1703</Words>
  <Characters>8516</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2023-09-11T12:14:00Z</dcterms:created>
  <dcterms:modified xsi:type="dcterms:W3CDTF">2023-09-11T12:14:00Z</dcterms:modified>
</cp:coreProperties>
</file>